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BAFCD" w14:textId="2C0CCFCF" w:rsidR="00643E6E" w:rsidRDefault="00E27325" w:rsidP="00D143E7">
      <w:pPr>
        <w:bidi/>
        <w:jc w:val="center"/>
        <w:rPr>
          <w:rFonts w:ascii="Simplified Arabic" w:hAnsi="Simplified Arabic" w:cs="Simplified Arabic"/>
          <w:b/>
          <w:bCs/>
          <w:sz w:val="32"/>
          <w:szCs w:val="32"/>
          <w:rtl/>
        </w:rPr>
      </w:pPr>
      <w:r w:rsidRPr="003A6A20">
        <w:rPr>
          <w:rFonts w:ascii="Simplified Arabic" w:hAnsi="Simplified Arabic" w:cs="Simplified Arabic" w:hint="cs"/>
          <w:b/>
          <w:bCs/>
          <w:sz w:val="32"/>
          <w:szCs w:val="32"/>
          <w:rtl/>
        </w:rPr>
        <w:t>مشروع موازنة العام 2027</w:t>
      </w:r>
      <w:r w:rsidR="00D143E7">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rPr>
        <w:t>بين العجز الصفري والعجز التنموي</w:t>
      </w:r>
    </w:p>
    <w:p w14:paraId="1F3A673D" w14:textId="77777777" w:rsidR="006C6F9D" w:rsidRPr="006C6F9D" w:rsidRDefault="006C6F9D" w:rsidP="00643E6E">
      <w:pPr>
        <w:bidi/>
        <w:jc w:val="both"/>
        <w:rPr>
          <w:rFonts w:ascii="Simplified Arabic" w:hAnsi="Simplified Arabic" w:cs="Simplified Arabic"/>
          <w:b/>
          <w:bCs/>
          <w:sz w:val="28"/>
          <w:szCs w:val="28"/>
          <w:rtl/>
        </w:rPr>
      </w:pPr>
      <w:r w:rsidRPr="006C6F9D">
        <w:rPr>
          <w:rFonts w:ascii="Simplified Arabic" w:hAnsi="Simplified Arabic" w:cs="Simplified Arabic" w:hint="cs"/>
          <w:b/>
          <w:bCs/>
          <w:sz w:val="28"/>
          <w:szCs w:val="28"/>
          <w:rtl/>
        </w:rPr>
        <w:t>ظروف وقواعد إعداد المشروع:</w:t>
      </w:r>
    </w:p>
    <w:p w14:paraId="1E975FC9" w14:textId="77777777" w:rsidR="007C394C" w:rsidRDefault="007C394C" w:rsidP="006C6F9D">
      <w:pPr>
        <w:bidi/>
        <w:jc w:val="both"/>
        <w:rPr>
          <w:rFonts w:ascii="Simplified Arabic" w:hAnsi="Simplified Arabic" w:cs="Simplified Arabic"/>
          <w:sz w:val="28"/>
          <w:szCs w:val="28"/>
          <w:rtl/>
        </w:rPr>
      </w:pPr>
      <w:r>
        <w:rPr>
          <w:rFonts w:ascii="Simplified Arabic" w:hAnsi="Simplified Arabic" w:cs="Simplified Arabic" w:hint="cs"/>
          <w:sz w:val="28"/>
          <w:szCs w:val="28"/>
          <w:rtl/>
        </w:rPr>
        <w:t>أعد وزير المالية مشروع قانون</w:t>
      </w:r>
      <w:r w:rsidR="003A6A20">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موازنة العام 2027 ورفعه الى مجلس الوزراء بموجب كتابه رقم 2997/ص1 تاريخ 31/8/2026 ، عملاً بأحكام المادة 17 من قانون </w:t>
      </w:r>
      <w:r w:rsidR="003A6A20">
        <w:rPr>
          <w:rFonts w:ascii="Simplified Arabic" w:hAnsi="Simplified Arabic" w:cs="Simplified Arabic" w:hint="cs"/>
          <w:sz w:val="28"/>
          <w:szCs w:val="28"/>
          <w:rtl/>
        </w:rPr>
        <w:t>ال</w:t>
      </w:r>
      <w:r>
        <w:rPr>
          <w:rFonts w:ascii="Simplified Arabic" w:hAnsi="Simplified Arabic" w:cs="Simplified Arabic" w:hint="cs"/>
          <w:sz w:val="28"/>
          <w:szCs w:val="28"/>
          <w:rtl/>
        </w:rPr>
        <w:t xml:space="preserve">محاسبة العمومية التي قضت </w:t>
      </w:r>
      <w:r w:rsidR="00643E6E">
        <w:rPr>
          <w:rFonts w:ascii="Simplified Arabic" w:hAnsi="Simplified Arabic" w:cs="Simplified Arabic" w:hint="cs"/>
          <w:sz w:val="28"/>
          <w:szCs w:val="28"/>
          <w:rtl/>
        </w:rPr>
        <w:t>ب</w:t>
      </w:r>
      <w:r>
        <w:rPr>
          <w:rFonts w:ascii="Simplified Arabic" w:hAnsi="Simplified Arabic" w:cs="Simplified Arabic" w:hint="cs"/>
          <w:sz w:val="28"/>
          <w:szCs w:val="28"/>
          <w:rtl/>
        </w:rPr>
        <w:t>ما يلي : "يقدم وزير المالية مشروع الموازنة الى مجلس الوزراء قبل أول أيلول مشفوعاً بتقرير يحلل فيه الإعتمادات المطلوبة والفروقات الهامة بين أرقام المشروع وبين أرقام موازنة السنة الجارية".</w:t>
      </w:r>
    </w:p>
    <w:p w14:paraId="30426695" w14:textId="77777777" w:rsidR="007C394C" w:rsidRDefault="007C394C" w:rsidP="003A6A20">
      <w:pPr>
        <w:bidi/>
        <w:jc w:val="both"/>
        <w:rPr>
          <w:rFonts w:ascii="Simplified Arabic" w:hAnsi="Simplified Arabic" w:cs="Simplified Arabic"/>
          <w:sz w:val="28"/>
          <w:szCs w:val="28"/>
          <w:rtl/>
        </w:rPr>
      </w:pPr>
      <w:r>
        <w:rPr>
          <w:rFonts w:ascii="Simplified Arabic" w:hAnsi="Simplified Arabic" w:cs="Simplified Arabic" w:hint="cs"/>
          <w:sz w:val="28"/>
          <w:szCs w:val="28"/>
          <w:rtl/>
        </w:rPr>
        <w:t>أما المادة 18 من قانون المحاسبة العمومية فقد نصت على ما يلي : "يقر مجلس الوزراء مشروع الموازنة في صيغته النهائية ، ويودعه السلطة التشريعية ضمن المهلة المحددة في الدستور. ويقدم وزير المالية الى السلطة التشريعية قبل أول تشرين الثاني تقريرأً مفصلاً عن الحالة الإقتصادية والمالية في البلاد وعن المبادئ التي اعتمدتها الحكومة في مشروع الموازنة".</w:t>
      </w:r>
    </w:p>
    <w:p w14:paraId="7E661D52" w14:textId="77777777" w:rsidR="007C394C" w:rsidRDefault="007C394C" w:rsidP="003A6A20">
      <w:pPr>
        <w:bidi/>
        <w:jc w:val="both"/>
        <w:rPr>
          <w:rFonts w:ascii="Simplified Arabic" w:hAnsi="Simplified Arabic" w:cs="Simplified Arabic"/>
          <w:sz w:val="28"/>
          <w:szCs w:val="28"/>
          <w:rtl/>
        </w:rPr>
      </w:pPr>
      <w:r>
        <w:rPr>
          <w:rFonts w:ascii="Simplified Arabic" w:hAnsi="Simplified Arabic" w:cs="Simplified Arabic" w:hint="cs"/>
          <w:sz w:val="28"/>
          <w:szCs w:val="28"/>
          <w:rtl/>
        </w:rPr>
        <w:t>وبعد الإطلاع على تقريير وزير المالية وعلى مشروع الموازنة العامة تبين أن وزير المالية حدد ظروف إعدا</w:t>
      </w:r>
      <w:r w:rsidR="003A6A20">
        <w:rPr>
          <w:rFonts w:ascii="Simplified Arabic" w:hAnsi="Simplified Arabic" w:cs="Simplified Arabic" w:hint="cs"/>
          <w:sz w:val="28"/>
          <w:szCs w:val="28"/>
          <w:rtl/>
        </w:rPr>
        <w:t>د</w:t>
      </w:r>
      <w:r>
        <w:rPr>
          <w:rFonts w:ascii="Simplified Arabic" w:hAnsi="Simplified Arabic" w:cs="Simplified Arabic" w:hint="cs"/>
          <w:sz w:val="28"/>
          <w:szCs w:val="28"/>
          <w:rtl/>
        </w:rPr>
        <w:t xml:space="preserve"> المشروع والإطار المالي المتوسط التي تنبثق منه موازنة العام 2027 ، نعرض ما يلي:</w:t>
      </w:r>
    </w:p>
    <w:p w14:paraId="2E7FBFA9" w14:textId="77777777" w:rsidR="007C394C" w:rsidRDefault="007C394C" w:rsidP="003A6A20">
      <w:pPr>
        <w:pStyle w:val="ListParagraph"/>
        <w:numPr>
          <w:ilvl w:val="0"/>
          <w:numId w:val="1"/>
        </w:numPr>
        <w:bidi/>
        <w:jc w:val="both"/>
        <w:rPr>
          <w:rFonts w:ascii="Simplified Arabic" w:hAnsi="Simplified Arabic" w:cs="Simplified Arabic"/>
          <w:sz w:val="28"/>
          <w:szCs w:val="28"/>
        </w:rPr>
      </w:pPr>
      <w:r w:rsidRPr="00643E6E">
        <w:rPr>
          <w:rFonts w:ascii="Simplified Arabic" w:hAnsi="Simplified Arabic" w:cs="Simplified Arabic" w:hint="cs"/>
          <w:b/>
          <w:bCs/>
          <w:sz w:val="28"/>
          <w:szCs w:val="28"/>
          <w:rtl/>
        </w:rPr>
        <w:t>تحديات الأزمات المتراكمة</w:t>
      </w:r>
      <w:r>
        <w:rPr>
          <w:rFonts w:ascii="Simplified Arabic" w:hAnsi="Simplified Arabic" w:cs="Simplified Arabic" w:hint="cs"/>
          <w:sz w:val="28"/>
          <w:szCs w:val="28"/>
          <w:rtl/>
        </w:rPr>
        <w:t xml:space="preserve"> وتداعيات حرب مدمرة واحتلال في جنوب لبنان وحجم واسع من الأضرار.</w:t>
      </w:r>
    </w:p>
    <w:p w14:paraId="75E88D62" w14:textId="77777777" w:rsidR="007C394C" w:rsidRDefault="007C394C" w:rsidP="003A6A20">
      <w:pPr>
        <w:pStyle w:val="ListParagraph"/>
        <w:numPr>
          <w:ilvl w:val="0"/>
          <w:numId w:val="1"/>
        </w:numPr>
        <w:bidi/>
        <w:jc w:val="both"/>
        <w:rPr>
          <w:rFonts w:ascii="Simplified Arabic" w:hAnsi="Simplified Arabic" w:cs="Simplified Arabic"/>
          <w:sz w:val="28"/>
          <w:szCs w:val="28"/>
        </w:rPr>
      </w:pPr>
      <w:r w:rsidRPr="00643E6E">
        <w:rPr>
          <w:rFonts w:ascii="Simplified Arabic" w:hAnsi="Simplified Arabic" w:cs="Simplified Arabic" w:hint="cs"/>
          <w:b/>
          <w:bCs/>
          <w:sz w:val="28"/>
          <w:szCs w:val="28"/>
          <w:rtl/>
        </w:rPr>
        <w:t>تقدير الكلفة التراكمية</w:t>
      </w:r>
      <w:r>
        <w:rPr>
          <w:rFonts w:ascii="Simplified Arabic" w:hAnsi="Simplified Arabic" w:cs="Simplified Arabic" w:hint="cs"/>
          <w:sz w:val="28"/>
          <w:szCs w:val="28"/>
          <w:rtl/>
        </w:rPr>
        <w:t xml:space="preserve"> للحرب بـ 11 مليار د.أ ، و</w:t>
      </w:r>
      <w:r w:rsidRPr="00643E6E">
        <w:rPr>
          <w:rFonts w:ascii="Simplified Arabic" w:hAnsi="Simplified Arabic" w:cs="Simplified Arabic" w:hint="cs"/>
          <w:b/>
          <w:bCs/>
          <w:sz w:val="28"/>
          <w:szCs w:val="28"/>
          <w:rtl/>
        </w:rPr>
        <w:t>بر</w:t>
      </w:r>
      <w:r w:rsidR="003A6A20" w:rsidRPr="00643E6E">
        <w:rPr>
          <w:rFonts w:ascii="Simplified Arabic" w:hAnsi="Simplified Arabic" w:cs="Simplified Arabic" w:hint="cs"/>
          <w:b/>
          <w:bCs/>
          <w:sz w:val="28"/>
          <w:szCs w:val="28"/>
          <w:rtl/>
        </w:rPr>
        <w:t>أ</w:t>
      </w:r>
      <w:r w:rsidRPr="00643E6E">
        <w:rPr>
          <w:rFonts w:ascii="Simplified Arabic" w:hAnsi="Simplified Arabic" w:cs="Simplified Arabic" w:hint="cs"/>
          <w:b/>
          <w:bCs/>
          <w:sz w:val="28"/>
          <w:szCs w:val="28"/>
          <w:rtl/>
        </w:rPr>
        <w:t xml:space="preserve">ينا </w:t>
      </w:r>
      <w:r>
        <w:rPr>
          <w:rFonts w:ascii="Simplified Arabic" w:hAnsi="Simplified Arabic" w:cs="Simplified Arabic" w:hint="cs"/>
          <w:sz w:val="28"/>
          <w:szCs w:val="28"/>
          <w:rtl/>
        </w:rPr>
        <w:t>هي كلفة تقديرية مبالغ بها خاصة وأنها تستند الى تقديرات جهات دولية وليس الى مسح وطني.</w:t>
      </w:r>
    </w:p>
    <w:p w14:paraId="7584E461" w14:textId="77777777" w:rsidR="007C394C" w:rsidRDefault="003A6A20" w:rsidP="003A6A20">
      <w:pPr>
        <w:pStyle w:val="ListParagraph"/>
        <w:numPr>
          <w:ilvl w:val="0"/>
          <w:numId w:val="1"/>
        </w:numPr>
        <w:bidi/>
        <w:jc w:val="both"/>
        <w:rPr>
          <w:rFonts w:ascii="Simplified Arabic" w:hAnsi="Simplified Arabic" w:cs="Simplified Arabic"/>
          <w:sz w:val="28"/>
          <w:szCs w:val="28"/>
        </w:rPr>
      </w:pPr>
      <w:r>
        <w:rPr>
          <w:rFonts w:ascii="Simplified Arabic" w:hAnsi="Simplified Arabic" w:cs="Simplified Arabic" w:hint="cs"/>
          <w:sz w:val="28"/>
          <w:szCs w:val="28"/>
          <w:rtl/>
        </w:rPr>
        <w:t>إ</w:t>
      </w:r>
      <w:r w:rsidR="007C394C">
        <w:rPr>
          <w:rFonts w:ascii="Simplified Arabic" w:hAnsi="Simplified Arabic" w:cs="Simplified Arabic" w:hint="cs"/>
          <w:sz w:val="28"/>
          <w:szCs w:val="28"/>
          <w:rtl/>
        </w:rPr>
        <w:t xml:space="preserve">نكماش الإقتصاد بما لا يقل عن 6 و7% في عام 2026 في حين تتوقع </w:t>
      </w:r>
      <w:r w:rsidR="007C394C" w:rsidRPr="00643E6E">
        <w:rPr>
          <w:rFonts w:ascii="Simplified Arabic" w:hAnsi="Simplified Arabic" w:cs="Simplified Arabic" w:hint="cs"/>
          <w:b/>
          <w:bCs/>
          <w:sz w:val="28"/>
          <w:szCs w:val="28"/>
          <w:rtl/>
        </w:rPr>
        <w:t>وكالة ستاندرد أند بورز</w:t>
      </w:r>
      <w:r w:rsidR="007C394C">
        <w:rPr>
          <w:rFonts w:ascii="Simplified Arabic" w:hAnsi="Simplified Arabic" w:cs="Simplified Arabic" w:hint="cs"/>
          <w:sz w:val="28"/>
          <w:szCs w:val="28"/>
          <w:rtl/>
        </w:rPr>
        <w:t xml:space="preserve"> أن ينكمش الناتج الحقيقي اللبناني بين 8 و9% في عام 2026 ، وتشير الوكالة الى أن الإقتصاد اللبناني أصبح أصغر وأكثر فقراً . وهنا لا بد من الإشارة الى مسؤولية الحكومة في هذا الإخفاق والفشل في الإنماء الإقتصادي.</w:t>
      </w:r>
    </w:p>
    <w:p w14:paraId="063A6024" w14:textId="77777777" w:rsidR="007C394C" w:rsidRDefault="003A6A20" w:rsidP="00643E6E">
      <w:pPr>
        <w:pStyle w:val="ListParagraph"/>
        <w:numPr>
          <w:ilvl w:val="0"/>
          <w:numId w:val="1"/>
        </w:numPr>
        <w:bidi/>
        <w:jc w:val="both"/>
        <w:rPr>
          <w:rFonts w:ascii="Simplified Arabic" w:hAnsi="Simplified Arabic" w:cs="Simplified Arabic"/>
          <w:sz w:val="28"/>
          <w:szCs w:val="28"/>
        </w:rPr>
      </w:pPr>
      <w:r>
        <w:rPr>
          <w:rFonts w:ascii="Simplified Arabic" w:hAnsi="Simplified Arabic" w:cs="Simplified Arabic" w:hint="cs"/>
          <w:sz w:val="28"/>
          <w:szCs w:val="28"/>
          <w:rtl/>
        </w:rPr>
        <w:t xml:space="preserve">تواضع </w:t>
      </w:r>
      <w:r w:rsidRPr="00643E6E">
        <w:rPr>
          <w:rFonts w:ascii="Simplified Arabic" w:hAnsi="Simplified Arabic" w:cs="Simplified Arabic" w:hint="cs"/>
          <w:b/>
          <w:bCs/>
          <w:sz w:val="28"/>
          <w:szCs w:val="28"/>
          <w:rtl/>
        </w:rPr>
        <w:t>النمو الإقتصادي</w:t>
      </w:r>
      <w:r>
        <w:rPr>
          <w:rFonts w:ascii="Simplified Arabic" w:hAnsi="Simplified Arabic" w:cs="Simplified Arabic" w:hint="cs"/>
          <w:sz w:val="28"/>
          <w:szCs w:val="28"/>
          <w:rtl/>
        </w:rPr>
        <w:t xml:space="preserve"> حيث يقدر بحوالي 3% في مشروع موازنة 2027 في حين تتوقع وكالة ستاندرد أند بورز أن</w:t>
      </w:r>
      <w:r w:rsidR="009369FF">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يؤدي نشاط إعادة الإعمار الى نمو يتراوح بين 2% و3% سنوياً خلال 2027-2029 بشرط إنتهاء الحرب الواسعة النطاق، وهذا الشرط لا </w:t>
      </w:r>
      <w:r w:rsidR="00643E6E">
        <w:rPr>
          <w:rFonts w:ascii="Simplified Arabic" w:hAnsi="Simplified Arabic" w:cs="Simplified Arabic" w:hint="cs"/>
          <w:sz w:val="28"/>
          <w:szCs w:val="28"/>
          <w:rtl/>
        </w:rPr>
        <w:t>ي</w:t>
      </w:r>
      <w:r>
        <w:rPr>
          <w:rFonts w:ascii="Simplified Arabic" w:hAnsi="Simplified Arabic" w:cs="Simplified Arabic" w:hint="cs"/>
          <w:sz w:val="28"/>
          <w:szCs w:val="28"/>
          <w:rtl/>
        </w:rPr>
        <w:t xml:space="preserve">د للبنان </w:t>
      </w:r>
      <w:r w:rsidR="00643E6E">
        <w:rPr>
          <w:rFonts w:ascii="Simplified Arabic" w:hAnsi="Simplified Arabic" w:cs="Simplified Arabic" w:hint="cs"/>
          <w:sz w:val="28"/>
          <w:szCs w:val="28"/>
          <w:rtl/>
        </w:rPr>
        <w:t>فيه</w:t>
      </w:r>
      <w:r>
        <w:rPr>
          <w:rFonts w:ascii="Simplified Arabic" w:hAnsi="Simplified Arabic" w:cs="Simplified Arabic" w:hint="cs"/>
          <w:sz w:val="28"/>
          <w:szCs w:val="28"/>
          <w:rtl/>
        </w:rPr>
        <w:t xml:space="preserve"> فه</w:t>
      </w:r>
      <w:r w:rsidR="00643E6E">
        <w:rPr>
          <w:rFonts w:ascii="Simplified Arabic" w:hAnsi="Simplified Arabic" w:cs="Simplified Arabic" w:hint="cs"/>
          <w:sz w:val="28"/>
          <w:szCs w:val="28"/>
          <w:rtl/>
        </w:rPr>
        <w:t>و</w:t>
      </w:r>
      <w:r>
        <w:rPr>
          <w:rFonts w:ascii="Simplified Arabic" w:hAnsi="Simplified Arabic" w:cs="Simplified Arabic" w:hint="cs"/>
          <w:sz w:val="28"/>
          <w:szCs w:val="28"/>
          <w:rtl/>
        </w:rPr>
        <w:t xml:space="preserve"> أمر خارج عن إرادة لبنان ، أما </w:t>
      </w:r>
      <w:r w:rsidRPr="00E239F2">
        <w:rPr>
          <w:rFonts w:ascii="Simplified Arabic" w:hAnsi="Simplified Arabic" w:cs="Simplified Arabic" w:hint="cs"/>
          <w:b/>
          <w:bCs/>
          <w:sz w:val="28"/>
          <w:szCs w:val="28"/>
          <w:rtl/>
        </w:rPr>
        <w:t>شرط الإعمار</w:t>
      </w:r>
      <w:r>
        <w:rPr>
          <w:rFonts w:ascii="Simplified Arabic" w:hAnsi="Simplified Arabic" w:cs="Simplified Arabic" w:hint="cs"/>
          <w:sz w:val="28"/>
          <w:szCs w:val="28"/>
          <w:rtl/>
        </w:rPr>
        <w:t xml:space="preserve"> فهو أيضاً ليس في مقدور الحكومة اللبنانية فهو مرتبط بمسار إتفاق إطار العمل المشترك الموقع بين لبنان وإسرائيل بإشراف الولايات المتحدة الأميركية.</w:t>
      </w:r>
    </w:p>
    <w:p w14:paraId="08870525" w14:textId="77777777" w:rsidR="00AA1211" w:rsidRPr="009369FF" w:rsidRDefault="00AA1211" w:rsidP="00AA0F50">
      <w:pPr>
        <w:pStyle w:val="ListParagraph"/>
        <w:numPr>
          <w:ilvl w:val="0"/>
          <w:numId w:val="1"/>
        </w:numPr>
        <w:bidi/>
        <w:jc w:val="both"/>
        <w:rPr>
          <w:rFonts w:ascii="Simplified Arabic" w:hAnsi="Simplified Arabic" w:cs="Simplified Arabic"/>
          <w:sz w:val="28"/>
          <w:szCs w:val="28"/>
          <w:rtl/>
        </w:rPr>
      </w:pPr>
      <w:r w:rsidRPr="00E239F2">
        <w:rPr>
          <w:rFonts w:ascii="Simplified Arabic" w:hAnsi="Simplified Arabic" w:cs="Simplified Arabic" w:hint="cs"/>
          <w:b/>
          <w:bCs/>
          <w:sz w:val="28"/>
          <w:szCs w:val="28"/>
          <w:rtl/>
        </w:rPr>
        <w:lastRenderedPageBreak/>
        <w:t>الضغوط التضخمية</w:t>
      </w:r>
      <w:r w:rsidRPr="009369FF">
        <w:rPr>
          <w:rFonts w:ascii="Simplified Arabic" w:hAnsi="Simplified Arabic" w:cs="Simplified Arabic" w:hint="cs"/>
          <w:sz w:val="28"/>
          <w:szCs w:val="28"/>
          <w:rtl/>
        </w:rPr>
        <w:t xml:space="preserve"> إذ عاد معدل التضخم الى الإرتفاع بحسب مؤشر أسعار الإستهلاك ليبلغ نحو 16% في تموز 2026، وبحسب تقرير وزير المالية فإن التضخم هو نتيجة التطورات الإقليمية والدولية ولا سيما تداعيات إغلاق مضيق هرمز وإرتفاع أسعار النفط . </w:t>
      </w:r>
      <w:r w:rsidRPr="00E239F2">
        <w:rPr>
          <w:rFonts w:ascii="Simplified Arabic" w:hAnsi="Simplified Arabic" w:cs="Simplified Arabic" w:hint="cs"/>
          <w:b/>
          <w:bCs/>
          <w:sz w:val="28"/>
          <w:szCs w:val="28"/>
          <w:rtl/>
        </w:rPr>
        <w:t>دائماً نعيد مشاكلنا السياسية والإقتصادية الى أسباب خارجية ، وننأى بأنفسنا عن مسؤولي</w:t>
      </w:r>
      <w:r w:rsidR="009369FF" w:rsidRPr="00E239F2">
        <w:rPr>
          <w:rFonts w:ascii="Simplified Arabic" w:hAnsi="Simplified Arabic" w:cs="Simplified Arabic" w:hint="cs"/>
          <w:b/>
          <w:bCs/>
          <w:sz w:val="28"/>
          <w:szCs w:val="28"/>
          <w:rtl/>
        </w:rPr>
        <w:t>ت</w:t>
      </w:r>
      <w:r w:rsidRPr="00E239F2">
        <w:rPr>
          <w:rFonts w:ascii="Simplified Arabic" w:hAnsi="Simplified Arabic" w:cs="Simplified Arabic" w:hint="cs"/>
          <w:b/>
          <w:bCs/>
          <w:sz w:val="28"/>
          <w:szCs w:val="28"/>
          <w:rtl/>
        </w:rPr>
        <w:t>نا عن هذه المشاكل</w:t>
      </w:r>
      <w:r w:rsidRPr="009369FF">
        <w:rPr>
          <w:rFonts w:ascii="Simplified Arabic" w:hAnsi="Simplified Arabic" w:cs="Simplified Arabic" w:hint="cs"/>
          <w:sz w:val="28"/>
          <w:szCs w:val="28"/>
          <w:rtl/>
        </w:rPr>
        <w:t xml:space="preserve"> ، فقد سجل مؤشر جمعية المستهلك في النصف الأول من عام 2026 إرتفاعاً حاداً بلغ 19.5% وهذا المؤشر يشمل 140 سلعة وخدمة أساسية لا تستغني عنها أي عائلة . صحيح أن هناك أسعار يمكن إيجاد مبرر لإرتفاعها مثل</w:t>
      </w:r>
      <w:r w:rsidR="009369FF" w:rsidRPr="009369FF">
        <w:rPr>
          <w:rFonts w:ascii="Simplified Arabic" w:hAnsi="Simplified Arabic" w:cs="Simplified Arabic" w:hint="cs"/>
          <w:sz w:val="28"/>
          <w:szCs w:val="28"/>
          <w:rtl/>
        </w:rPr>
        <w:t xml:space="preserve"> أكلاف الإستيراد والطاقة والشحن، </w:t>
      </w:r>
      <w:r w:rsidRPr="009369FF">
        <w:rPr>
          <w:rFonts w:ascii="Simplified Arabic" w:hAnsi="Simplified Arabic" w:cs="Simplified Arabic" w:hint="cs"/>
          <w:sz w:val="28"/>
          <w:szCs w:val="28"/>
          <w:rtl/>
        </w:rPr>
        <w:t>ولكن هل قامت الحكومة بواجباتها في التحق</w:t>
      </w:r>
      <w:r w:rsidR="009369FF">
        <w:rPr>
          <w:rFonts w:ascii="Simplified Arabic" w:hAnsi="Simplified Arabic" w:cs="Simplified Arabic" w:hint="cs"/>
          <w:sz w:val="28"/>
          <w:szCs w:val="28"/>
          <w:rtl/>
        </w:rPr>
        <w:t>ق</w:t>
      </w:r>
      <w:r w:rsidRPr="009369FF">
        <w:rPr>
          <w:rFonts w:ascii="Simplified Arabic" w:hAnsi="Simplified Arabic" w:cs="Simplified Arabic" w:hint="cs"/>
          <w:sz w:val="28"/>
          <w:szCs w:val="28"/>
          <w:rtl/>
        </w:rPr>
        <w:t xml:space="preserve"> من </w:t>
      </w:r>
      <w:r w:rsidR="009369FF">
        <w:rPr>
          <w:rFonts w:ascii="Simplified Arabic" w:hAnsi="Simplified Arabic" w:cs="Simplified Arabic" w:hint="cs"/>
          <w:sz w:val="28"/>
          <w:szCs w:val="28"/>
          <w:rtl/>
        </w:rPr>
        <w:t xml:space="preserve">أن </w:t>
      </w:r>
      <w:r w:rsidRPr="009369FF">
        <w:rPr>
          <w:rFonts w:ascii="Simplified Arabic" w:hAnsi="Simplified Arabic" w:cs="Simplified Arabic" w:hint="cs"/>
          <w:sz w:val="28"/>
          <w:szCs w:val="28"/>
          <w:rtl/>
        </w:rPr>
        <w:t xml:space="preserve">أسعار المبيع لا تتضمن أرباحاً فاحشاً. بالتأكيد </w:t>
      </w:r>
      <w:r w:rsidRPr="00E239F2">
        <w:rPr>
          <w:rFonts w:ascii="Simplified Arabic" w:hAnsi="Simplified Arabic" w:cs="Simplified Arabic" w:hint="cs"/>
          <w:b/>
          <w:bCs/>
          <w:sz w:val="28"/>
          <w:szCs w:val="28"/>
          <w:rtl/>
        </w:rPr>
        <w:t>نسجل فشلاً للحكومة</w:t>
      </w:r>
      <w:r w:rsidRPr="009369FF">
        <w:rPr>
          <w:rFonts w:ascii="Simplified Arabic" w:hAnsi="Simplified Arabic" w:cs="Simplified Arabic" w:hint="cs"/>
          <w:sz w:val="28"/>
          <w:szCs w:val="28"/>
          <w:rtl/>
        </w:rPr>
        <w:t xml:space="preserve"> في مكافحة التضخم والدليل أسعار الطاقة للمولدات الكهربائية المنشرة خلافاً للقانون وقواعد المحافظة على البيئة.</w:t>
      </w:r>
    </w:p>
    <w:p w14:paraId="3EDD1B88" w14:textId="77777777" w:rsidR="009B46E9" w:rsidRDefault="009B46E9" w:rsidP="003D1E09">
      <w:pPr>
        <w:pStyle w:val="ListParagraph"/>
        <w:numPr>
          <w:ilvl w:val="0"/>
          <w:numId w:val="1"/>
        </w:numPr>
        <w:bidi/>
        <w:jc w:val="both"/>
        <w:rPr>
          <w:rFonts w:ascii="Simplified Arabic" w:hAnsi="Simplified Arabic" w:cs="Simplified Arabic"/>
          <w:sz w:val="28"/>
          <w:szCs w:val="28"/>
        </w:rPr>
      </w:pPr>
      <w:r w:rsidRPr="00AF475B">
        <w:rPr>
          <w:rFonts w:ascii="Simplified Arabic" w:hAnsi="Simplified Arabic" w:cs="Simplified Arabic" w:hint="cs"/>
          <w:b/>
          <w:bCs/>
          <w:sz w:val="28"/>
          <w:szCs w:val="28"/>
          <w:rtl/>
        </w:rPr>
        <w:t>تراجع الإستهلاك وعائدات السياحة</w:t>
      </w:r>
      <w:r>
        <w:rPr>
          <w:rFonts w:ascii="Simplified Arabic" w:hAnsi="Simplified Arabic" w:cs="Simplified Arabic" w:hint="cs"/>
          <w:sz w:val="28"/>
          <w:szCs w:val="28"/>
          <w:rtl/>
        </w:rPr>
        <w:t xml:space="preserve"> ، لكن التقرير أغفل ذكر الأسباب وهي </w:t>
      </w:r>
      <w:r w:rsidR="003D1E09">
        <w:rPr>
          <w:rFonts w:ascii="Simplified Arabic" w:hAnsi="Simplified Arabic" w:cs="Simplified Arabic" w:hint="cs"/>
          <w:sz w:val="28"/>
          <w:szCs w:val="28"/>
          <w:rtl/>
        </w:rPr>
        <w:t>محلي</w:t>
      </w:r>
      <w:r>
        <w:rPr>
          <w:rFonts w:ascii="Simplified Arabic" w:hAnsi="Simplified Arabic" w:cs="Simplified Arabic" w:hint="cs"/>
          <w:sz w:val="28"/>
          <w:szCs w:val="28"/>
          <w:rtl/>
        </w:rPr>
        <w:t>ة بالتأكيد وأهمها على الإطلاق إنهيار سعر صرف الليرة مقابل الدولار الأميركي ، واعتماد لبنان على الإستيراد وضعف الصناعة والزراعة وتراجع المداخيل والرواتب والأجور والزيادات المفرطة في الضرائب غير المباشرة أي الضرائب على الإستهلاك ، وانخفاض حصيلة الضرائب المباشرة على أصحاب الدخول المرتفعة</w:t>
      </w:r>
      <w:r w:rsidR="00441C4D">
        <w:rPr>
          <w:rFonts w:ascii="Simplified Arabic" w:hAnsi="Simplified Arabic" w:cs="Simplified Arabic" w:hint="cs"/>
          <w:sz w:val="28"/>
          <w:szCs w:val="28"/>
          <w:rtl/>
        </w:rPr>
        <w:t xml:space="preserve"> فقد شهد لبنان في الفترة الأخيرة فرض ما سمي رسوماً على البيئة بنسبة 2% على ال</w:t>
      </w:r>
      <w:r w:rsidR="003D1E09">
        <w:rPr>
          <w:rFonts w:ascii="Simplified Arabic" w:hAnsi="Simplified Arabic" w:cs="Simplified Arabic" w:hint="cs"/>
          <w:sz w:val="28"/>
          <w:szCs w:val="28"/>
          <w:rtl/>
        </w:rPr>
        <w:t>ك</w:t>
      </w:r>
      <w:r w:rsidR="00441C4D">
        <w:rPr>
          <w:rFonts w:ascii="Simplified Arabic" w:hAnsi="Simplified Arabic" w:cs="Simplified Arabic" w:hint="cs"/>
          <w:sz w:val="28"/>
          <w:szCs w:val="28"/>
          <w:rtl/>
        </w:rPr>
        <w:t>يميائيات واللدائن والإسمنت مما يشكل عبئاً إضافياً على مدخلات الإنتاج وصولاً الى المستهلك ، و3% على السيارات والإلكترونيات والساعات ومن شأن هذه الرسوم الضغط على القدرة الشرائية للمواطنين وبالتالي خفض الطلب على الإستهلاك.</w:t>
      </w:r>
    </w:p>
    <w:p w14:paraId="437607FF" w14:textId="77777777" w:rsidR="003D1A7C" w:rsidRDefault="003D1A7C" w:rsidP="009369FF">
      <w:pPr>
        <w:pStyle w:val="ListParagraph"/>
        <w:numPr>
          <w:ilvl w:val="0"/>
          <w:numId w:val="1"/>
        </w:numPr>
        <w:bidi/>
        <w:jc w:val="both"/>
        <w:rPr>
          <w:rFonts w:ascii="Simplified Arabic" w:hAnsi="Simplified Arabic" w:cs="Simplified Arabic"/>
          <w:sz w:val="28"/>
          <w:szCs w:val="28"/>
        </w:rPr>
      </w:pPr>
      <w:r w:rsidRPr="00E239F2">
        <w:rPr>
          <w:rFonts w:ascii="Simplified Arabic" w:hAnsi="Simplified Arabic" w:cs="Simplified Arabic" w:hint="cs"/>
          <w:b/>
          <w:bCs/>
          <w:sz w:val="28"/>
          <w:szCs w:val="28"/>
          <w:rtl/>
        </w:rPr>
        <w:t>تراجع الدعم المالي الخارجي</w:t>
      </w:r>
      <w:r>
        <w:rPr>
          <w:rFonts w:ascii="Simplified Arabic" w:hAnsi="Simplified Arabic" w:cs="Simplified Arabic" w:hint="cs"/>
          <w:sz w:val="28"/>
          <w:szCs w:val="28"/>
          <w:rtl/>
        </w:rPr>
        <w:t xml:space="preserve"> ، وهذا أمر طبيعي الآن وفي المستقبل ، </w:t>
      </w:r>
      <w:r w:rsidRPr="00E239F2">
        <w:rPr>
          <w:rFonts w:ascii="Simplified Arabic" w:hAnsi="Simplified Arabic" w:cs="Simplified Arabic" w:hint="cs"/>
          <w:b/>
          <w:bCs/>
          <w:sz w:val="28"/>
          <w:szCs w:val="28"/>
          <w:rtl/>
        </w:rPr>
        <w:t xml:space="preserve">لأن لبنان </w:t>
      </w:r>
      <w:r w:rsidR="009369FF" w:rsidRPr="00E239F2">
        <w:rPr>
          <w:rFonts w:ascii="Simplified Arabic" w:hAnsi="Simplified Arabic" w:cs="Simplified Arabic" w:hint="cs"/>
          <w:b/>
          <w:bCs/>
          <w:sz w:val="28"/>
          <w:szCs w:val="28"/>
          <w:rtl/>
        </w:rPr>
        <w:t>و</w:t>
      </w:r>
      <w:r w:rsidRPr="00E239F2">
        <w:rPr>
          <w:rFonts w:ascii="Simplified Arabic" w:hAnsi="Simplified Arabic" w:cs="Simplified Arabic" w:hint="cs"/>
          <w:b/>
          <w:bCs/>
          <w:sz w:val="28"/>
          <w:szCs w:val="28"/>
          <w:rtl/>
        </w:rPr>
        <w:t>افق في إتفاق الإطار</w:t>
      </w:r>
      <w:r>
        <w:rPr>
          <w:rFonts w:ascii="Simplified Arabic" w:hAnsi="Simplified Arabic" w:cs="Simplified Arabic" w:hint="cs"/>
          <w:sz w:val="28"/>
          <w:szCs w:val="28"/>
          <w:rtl/>
        </w:rPr>
        <w:t xml:space="preserve"> بينه وبين إسرائيل على ربط إعادة البناء السياسي والإقتصادي والإجتماعي وحتى المساعدات الإنسانية بالإرادة والرغبة الأميركية المنفردة وهذه الرغبة مرتبطة ومتزامنة بالتقدم على مسار العلاقات بين لبنان وإسرائيل حيث أحكم الربط بين نزع سلاح حزب الله وإعادة الإ</w:t>
      </w:r>
      <w:r w:rsidR="009369FF">
        <w:rPr>
          <w:rFonts w:ascii="Simplified Arabic" w:hAnsi="Simplified Arabic" w:cs="Simplified Arabic" w:hint="cs"/>
          <w:sz w:val="28"/>
          <w:szCs w:val="28"/>
          <w:rtl/>
        </w:rPr>
        <w:t>عمار والتعافي الإقتصادي</w:t>
      </w:r>
      <w:r>
        <w:rPr>
          <w:rFonts w:ascii="Simplified Arabic" w:hAnsi="Simplified Arabic" w:cs="Simplified Arabic" w:hint="cs"/>
          <w:sz w:val="28"/>
          <w:szCs w:val="28"/>
          <w:rtl/>
        </w:rPr>
        <w:t xml:space="preserve">، وحيث أن مسألة نزع السلاح أمر مستحيل التحقيق في المدى القريب فإن الحصول على </w:t>
      </w:r>
      <w:r w:rsidR="009369FF">
        <w:rPr>
          <w:rFonts w:ascii="Simplified Arabic" w:hAnsi="Simplified Arabic" w:cs="Simplified Arabic" w:hint="cs"/>
          <w:sz w:val="28"/>
          <w:szCs w:val="28"/>
          <w:rtl/>
        </w:rPr>
        <w:t>أ</w:t>
      </w:r>
      <w:r>
        <w:rPr>
          <w:rFonts w:ascii="Simplified Arabic" w:hAnsi="Simplified Arabic" w:cs="Simplified Arabic" w:hint="cs"/>
          <w:sz w:val="28"/>
          <w:szCs w:val="28"/>
          <w:rtl/>
        </w:rPr>
        <w:t>موال من الخارج سيكون متعذراً.</w:t>
      </w:r>
    </w:p>
    <w:p w14:paraId="221DA871" w14:textId="77777777" w:rsidR="00441C4D" w:rsidRDefault="003D1A7C" w:rsidP="00441C4D">
      <w:pPr>
        <w:pStyle w:val="ListParagraph"/>
        <w:numPr>
          <w:ilvl w:val="0"/>
          <w:numId w:val="1"/>
        </w:numPr>
        <w:bidi/>
        <w:jc w:val="both"/>
        <w:rPr>
          <w:rFonts w:ascii="Simplified Arabic" w:hAnsi="Simplified Arabic" w:cs="Simplified Arabic"/>
          <w:sz w:val="28"/>
          <w:szCs w:val="28"/>
        </w:rPr>
      </w:pPr>
      <w:r w:rsidRPr="00462A67">
        <w:rPr>
          <w:rFonts w:ascii="Simplified Arabic" w:hAnsi="Simplified Arabic" w:cs="Simplified Arabic" w:hint="cs"/>
          <w:b/>
          <w:bCs/>
          <w:sz w:val="28"/>
          <w:szCs w:val="28"/>
          <w:rtl/>
        </w:rPr>
        <w:t>إرتفاع كلفة الإستيراد</w:t>
      </w:r>
      <w:r>
        <w:rPr>
          <w:rFonts w:ascii="Simplified Arabic" w:hAnsi="Simplified Arabic" w:cs="Simplified Arabic" w:hint="cs"/>
          <w:sz w:val="28"/>
          <w:szCs w:val="28"/>
          <w:rtl/>
        </w:rPr>
        <w:t xml:space="preserve"> (التحويلات الخارجية) إذ تشكل حوالي 60% من الناتج المحلي لعام 2025 ، وبلغت نسبة الإرتفاع 11% في الأشهر الأربعة من العام 2026.</w:t>
      </w:r>
    </w:p>
    <w:p w14:paraId="66D3B29E" w14:textId="77777777" w:rsidR="00375C2B" w:rsidRDefault="003D1A7C" w:rsidP="009369FF">
      <w:pPr>
        <w:pStyle w:val="ListParagraph"/>
        <w:bidi/>
        <w:jc w:val="both"/>
        <w:rPr>
          <w:rFonts w:ascii="Simplified Arabic" w:hAnsi="Simplified Arabic" w:cs="Simplified Arabic"/>
          <w:sz w:val="28"/>
          <w:szCs w:val="28"/>
          <w:rtl/>
        </w:rPr>
      </w:pPr>
      <w:r w:rsidRPr="00462A67">
        <w:rPr>
          <w:rFonts w:ascii="Simplified Arabic" w:hAnsi="Simplified Arabic" w:cs="Simplified Arabic" w:hint="cs"/>
          <w:b/>
          <w:bCs/>
          <w:sz w:val="28"/>
          <w:szCs w:val="28"/>
          <w:rtl/>
        </w:rPr>
        <w:lastRenderedPageBreak/>
        <w:t>إن الأمر أسوء مما</w:t>
      </w:r>
      <w:r w:rsidR="00462A67">
        <w:rPr>
          <w:rFonts w:ascii="Simplified Arabic" w:hAnsi="Simplified Arabic" w:cs="Simplified Arabic" w:hint="cs"/>
          <w:b/>
          <w:bCs/>
          <w:sz w:val="28"/>
          <w:szCs w:val="28"/>
          <w:rtl/>
        </w:rPr>
        <w:t xml:space="preserve"> </w:t>
      </w:r>
      <w:r w:rsidRPr="00462A67">
        <w:rPr>
          <w:rFonts w:ascii="Simplified Arabic" w:hAnsi="Simplified Arabic" w:cs="Simplified Arabic" w:hint="cs"/>
          <w:b/>
          <w:bCs/>
          <w:sz w:val="28"/>
          <w:szCs w:val="28"/>
          <w:rtl/>
        </w:rPr>
        <w:t>عرضه وزير المالية</w:t>
      </w:r>
      <w:r>
        <w:rPr>
          <w:rFonts w:ascii="Simplified Arabic" w:hAnsi="Simplified Arabic" w:cs="Simplified Arabic" w:hint="cs"/>
          <w:sz w:val="28"/>
          <w:szCs w:val="28"/>
          <w:rtl/>
        </w:rPr>
        <w:t xml:space="preserve"> إذ أنه بحسب وكالة ستاندرز اند يورز فإن الإقتصاد اللبناني أصبح أصغر وأكثر فقراً وهو ينفق في الخارج أكثر مما يولد من إيرادات خارجية ، بالإضافة الى عدم وجود قطاع مصرفي والى تعذر سداد الدين بالعملة الأجنبية ، وبالإضافة الى </w:t>
      </w:r>
      <w:r w:rsidR="00375C2B">
        <w:rPr>
          <w:rFonts w:ascii="Simplified Arabic" w:hAnsi="Simplified Arabic" w:cs="Simplified Arabic" w:hint="cs"/>
          <w:sz w:val="28"/>
          <w:szCs w:val="28"/>
          <w:rtl/>
        </w:rPr>
        <w:t xml:space="preserve">أن عجز الحساب الجاري بلغ ما يعادل 25.7% من الناتج المحلي لعام 2025 وبلغ العجز التجاري 44.4% من الناتج المحلي لعام 2025 ، </w:t>
      </w:r>
      <w:r w:rsidR="00375C2B" w:rsidRPr="00756EE6">
        <w:rPr>
          <w:rFonts w:ascii="Simplified Arabic" w:hAnsi="Simplified Arabic" w:cs="Simplified Arabic" w:hint="cs"/>
          <w:b/>
          <w:bCs/>
          <w:sz w:val="28"/>
          <w:szCs w:val="28"/>
          <w:rtl/>
        </w:rPr>
        <w:t>وتتوقع الوكالة بعد عقد كامل 2019-2029 أن تبلغ الفجوة بين صادرات لبنان ووارداته من السلع نحو ثلث الناتج المحلي</w:t>
      </w:r>
      <w:r w:rsidR="00375C2B">
        <w:rPr>
          <w:rFonts w:ascii="Simplified Arabic" w:hAnsi="Simplified Arabic" w:cs="Simplified Arabic" w:hint="cs"/>
          <w:sz w:val="28"/>
          <w:szCs w:val="28"/>
          <w:rtl/>
        </w:rPr>
        <w:t xml:space="preserve"> ، </w:t>
      </w:r>
      <w:r w:rsidR="009369FF">
        <w:rPr>
          <w:rFonts w:ascii="Simplified Arabic" w:hAnsi="Simplified Arabic" w:cs="Simplified Arabic" w:hint="cs"/>
          <w:sz w:val="28"/>
          <w:szCs w:val="28"/>
          <w:rtl/>
        </w:rPr>
        <w:t>وعليه لا ترى الوكالة تعافياً في الإق</w:t>
      </w:r>
      <w:r w:rsidR="00375C2B">
        <w:rPr>
          <w:rFonts w:ascii="Simplified Arabic" w:hAnsi="Simplified Arabic" w:cs="Simplified Arabic" w:hint="cs"/>
          <w:sz w:val="28"/>
          <w:szCs w:val="28"/>
          <w:rtl/>
        </w:rPr>
        <w:t>تصاد بل تتوقع أن ينكمش الناتج الحقيقي بين 8% و9% عام2026. إن المشكلة الأساسية ليست هنا بل هي في جوهر النموذج الإقتصادي اللبناني القائم على الإستهلاك في حين يقتضي أن يقوم على الإنتاج .</w:t>
      </w:r>
    </w:p>
    <w:p w14:paraId="627840BF" w14:textId="77777777" w:rsidR="00375C2B" w:rsidRDefault="00375C2B" w:rsidP="00375C2B">
      <w:pPr>
        <w:pStyle w:val="ListParagraph"/>
        <w:numPr>
          <w:ilvl w:val="0"/>
          <w:numId w:val="1"/>
        </w:numPr>
        <w:bidi/>
        <w:jc w:val="both"/>
        <w:rPr>
          <w:rFonts w:ascii="Simplified Arabic" w:hAnsi="Simplified Arabic" w:cs="Simplified Arabic"/>
          <w:sz w:val="28"/>
          <w:szCs w:val="28"/>
        </w:rPr>
      </w:pPr>
      <w:r w:rsidRPr="00756EE6">
        <w:rPr>
          <w:rFonts w:ascii="Simplified Arabic" w:hAnsi="Simplified Arabic" w:cs="Simplified Arabic" w:hint="cs"/>
          <w:b/>
          <w:bCs/>
          <w:sz w:val="28"/>
          <w:szCs w:val="28"/>
          <w:rtl/>
        </w:rPr>
        <w:t>الأزمة والتعافي</w:t>
      </w:r>
      <w:r>
        <w:rPr>
          <w:rFonts w:ascii="Simplified Arabic" w:hAnsi="Simplified Arabic" w:cs="Simplified Arabic" w:hint="cs"/>
          <w:sz w:val="28"/>
          <w:szCs w:val="28"/>
          <w:rtl/>
        </w:rPr>
        <w:t>:</w:t>
      </w:r>
    </w:p>
    <w:p w14:paraId="3A58C810" w14:textId="77777777" w:rsidR="00375C2B" w:rsidRDefault="00375C2B" w:rsidP="009369FF">
      <w:pPr>
        <w:pStyle w:val="ListParagraph"/>
        <w:bidi/>
        <w:jc w:val="both"/>
        <w:rPr>
          <w:rFonts w:ascii="Simplified Arabic" w:hAnsi="Simplified Arabic" w:cs="Simplified Arabic"/>
          <w:sz w:val="28"/>
          <w:szCs w:val="28"/>
          <w:rtl/>
        </w:rPr>
      </w:pPr>
      <w:r>
        <w:rPr>
          <w:rFonts w:ascii="Simplified Arabic" w:hAnsi="Simplified Arabic" w:cs="Simplified Arabic" w:hint="cs"/>
          <w:sz w:val="28"/>
          <w:szCs w:val="28"/>
          <w:rtl/>
        </w:rPr>
        <w:t>بحسب تقرير وزير الما</w:t>
      </w:r>
      <w:r w:rsidR="009369FF">
        <w:rPr>
          <w:rFonts w:ascii="Simplified Arabic" w:hAnsi="Simplified Arabic" w:cs="Simplified Arabic" w:hint="cs"/>
          <w:sz w:val="28"/>
          <w:szCs w:val="28"/>
          <w:rtl/>
        </w:rPr>
        <w:t>ل</w:t>
      </w:r>
      <w:r>
        <w:rPr>
          <w:rFonts w:ascii="Simplified Arabic" w:hAnsi="Simplified Arabic" w:cs="Simplified Arabic" w:hint="cs"/>
          <w:sz w:val="28"/>
          <w:szCs w:val="28"/>
          <w:rtl/>
        </w:rPr>
        <w:t>ية ، فإن النهج الحكومي لم يقتصر على إدارة ال</w:t>
      </w:r>
      <w:r w:rsidR="009369FF">
        <w:rPr>
          <w:rFonts w:ascii="Simplified Arabic" w:hAnsi="Simplified Arabic" w:cs="Simplified Arabic" w:hint="cs"/>
          <w:sz w:val="28"/>
          <w:szCs w:val="28"/>
          <w:rtl/>
        </w:rPr>
        <w:t>أ</w:t>
      </w:r>
      <w:r>
        <w:rPr>
          <w:rFonts w:ascii="Simplified Arabic" w:hAnsi="Simplified Arabic" w:cs="Simplified Arabic" w:hint="cs"/>
          <w:sz w:val="28"/>
          <w:szCs w:val="28"/>
          <w:rtl/>
        </w:rPr>
        <w:t>زمة بل هدف الى الإنتقال السريع الى مرحلة التعافي من خلال:</w:t>
      </w:r>
    </w:p>
    <w:p w14:paraId="7AFFDE22" w14:textId="77777777" w:rsidR="00375C2B" w:rsidRDefault="00375C2B" w:rsidP="00375C2B">
      <w:pPr>
        <w:pStyle w:val="ListParagraph"/>
        <w:numPr>
          <w:ilvl w:val="0"/>
          <w:numId w:val="2"/>
        </w:numPr>
        <w:bidi/>
        <w:jc w:val="both"/>
        <w:rPr>
          <w:rFonts w:ascii="Simplified Arabic" w:hAnsi="Simplified Arabic" w:cs="Simplified Arabic"/>
          <w:sz w:val="28"/>
          <w:szCs w:val="28"/>
        </w:rPr>
      </w:pPr>
      <w:r w:rsidRPr="00756EE6">
        <w:rPr>
          <w:rFonts w:ascii="Simplified Arabic" w:hAnsi="Simplified Arabic" w:cs="Simplified Arabic" w:hint="cs"/>
          <w:b/>
          <w:bCs/>
          <w:sz w:val="28"/>
          <w:szCs w:val="28"/>
          <w:rtl/>
        </w:rPr>
        <w:t>إستعادة الثقة في قطاع مصرفي</w:t>
      </w:r>
      <w:r>
        <w:rPr>
          <w:rFonts w:ascii="Simplified Arabic" w:hAnsi="Simplified Arabic" w:cs="Simplified Arabic" w:hint="cs"/>
          <w:sz w:val="28"/>
          <w:szCs w:val="28"/>
          <w:rtl/>
        </w:rPr>
        <w:t xml:space="preserve"> سليم لا سيما إقرار القانون رقم 23 تاريخ 14/8/2025 المتعلق بإصلاح المصارف ، كما العمل على مشروع قانون الفجوة المالية واسترجاع الودائع.</w:t>
      </w:r>
    </w:p>
    <w:p w14:paraId="44F9B3C4" w14:textId="77777777" w:rsidR="00375C2B" w:rsidRDefault="00375C2B" w:rsidP="00375C2B">
      <w:pPr>
        <w:pStyle w:val="ListParagraph"/>
        <w:bidi/>
        <w:ind w:left="108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كيف يكون الإنتقال الى التعافي سريعاً وقد </w:t>
      </w:r>
      <w:r w:rsidRPr="00756EE6">
        <w:rPr>
          <w:rFonts w:ascii="Simplified Arabic" w:hAnsi="Simplified Arabic" w:cs="Simplified Arabic" w:hint="cs"/>
          <w:b/>
          <w:bCs/>
          <w:sz w:val="28"/>
          <w:szCs w:val="28"/>
          <w:rtl/>
        </w:rPr>
        <w:t xml:space="preserve">مضى على الإنهيار الإقتصادي والمالي والنقدي حوالي ثماني سنوات </w:t>
      </w:r>
      <w:r>
        <w:rPr>
          <w:rFonts w:ascii="Simplified Arabic" w:hAnsi="Simplified Arabic" w:cs="Simplified Arabic" w:hint="cs"/>
          <w:sz w:val="28"/>
          <w:szCs w:val="28"/>
          <w:rtl/>
        </w:rPr>
        <w:t>، والقانون رقم 23 لا يشكل إطاراً صحيحاً للحل بدليل أنه غير قابل للتنفيذ إلا بعد إق</w:t>
      </w:r>
      <w:r w:rsidR="009369FF">
        <w:rPr>
          <w:rFonts w:ascii="Simplified Arabic" w:hAnsi="Simplified Arabic" w:cs="Simplified Arabic" w:hint="cs"/>
          <w:sz w:val="28"/>
          <w:szCs w:val="28"/>
          <w:rtl/>
        </w:rPr>
        <w:t>ر</w:t>
      </w:r>
      <w:r>
        <w:rPr>
          <w:rFonts w:ascii="Simplified Arabic" w:hAnsi="Simplified Arabic" w:cs="Simplified Arabic" w:hint="cs"/>
          <w:sz w:val="28"/>
          <w:szCs w:val="28"/>
          <w:rtl/>
        </w:rPr>
        <w:t>ار قانون الفجوة المالية الذي لم يبدأ مجلس النواب لغاية تاريخه بنقاشه ، هذا فضلاً عن أن الحكومة أقدمت على تعديل القانون رقم 23 وأرسلته الى مجلس النواب الذي أقره مرة أخرى وهو ينتظر قانون الفجوة المالية.</w:t>
      </w:r>
    </w:p>
    <w:p w14:paraId="3A7231F5" w14:textId="77777777" w:rsidR="00BD7521" w:rsidRDefault="00375C2B" w:rsidP="00375C2B">
      <w:pPr>
        <w:pStyle w:val="ListParagraph"/>
        <w:bidi/>
        <w:ind w:left="1080"/>
        <w:jc w:val="both"/>
        <w:rPr>
          <w:rFonts w:ascii="Simplified Arabic" w:hAnsi="Simplified Arabic" w:cs="Simplified Arabic"/>
          <w:sz w:val="28"/>
          <w:szCs w:val="28"/>
          <w:rtl/>
        </w:rPr>
      </w:pPr>
      <w:r>
        <w:rPr>
          <w:rFonts w:ascii="Simplified Arabic" w:hAnsi="Simplified Arabic" w:cs="Simplified Arabic" w:hint="cs"/>
          <w:sz w:val="28"/>
          <w:szCs w:val="28"/>
          <w:rtl/>
        </w:rPr>
        <w:t>وبرأينا فإن القانونين لا يشكلان حلاً بل يشكلان مشكلة إذ لا بد من إلغائ</w:t>
      </w:r>
      <w:r w:rsidR="00BD7521">
        <w:rPr>
          <w:rFonts w:ascii="Simplified Arabic" w:hAnsi="Simplified Arabic" w:cs="Simplified Arabic" w:hint="cs"/>
          <w:sz w:val="28"/>
          <w:szCs w:val="28"/>
          <w:rtl/>
        </w:rPr>
        <w:t>ه</w:t>
      </w:r>
      <w:r>
        <w:rPr>
          <w:rFonts w:ascii="Simplified Arabic" w:hAnsi="Simplified Arabic" w:cs="Simplified Arabic" w:hint="cs"/>
          <w:sz w:val="28"/>
          <w:szCs w:val="28"/>
          <w:rtl/>
        </w:rPr>
        <w:t>ما</w:t>
      </w:r>
      <w:r w:rsidR="00BD7521">
        <w:rPr>
          <w:rFonts w:ascii="Simplified Arabic" w:hAnsi="Simplified Arabic" w:cs="Simplified Arabic" w:hint="cs"/>
          <w:sz w:val="28"/>
          <w:szCs w:val="28"/>
          <w:rtl/>
        </w:rPr>
        <w:t xml:space="preserve"> وإصدار قانون واحد (سيكون لنا بحثاً مفصلاً حول هذا الموضوع).</w:t>
      </w:r>
    </w:p>
    <w:p w14:paraId="49F34FFB" w14:textId="77777777" w:rsidR="00B8546B" w:rsidRDefault="00B8546B" w:rsidP="00BD7521">
      <w:pPr>
        <w:pStyle w:val="ListParagraph"/>
        <w:numPr>
          <w:ilvl w:val="0"/>
          <w:numId w:val="2"/>
        </w:numPr>
        <w:bidi/>
        <w:jc w:val="both"/>
        <w:rPr>
          <w:rFonts w:ascii="Simplified Arabic" w:hAnsi="Simplified Arabic" w:cs="Simplified Arabic"/>
          <w:sz w:val="28"/>
          <w:szCs w:val="28"/>
        </w:rPr>
      </w:pPr>
      <w:r w:rsidRPr="00756EE6">
        <w:rPr>
          <w:rFonts w:ascii="Simplified Arabic" w:hAnsi="Simplified Arabic" w:cs="Simplified Arabic" w:hint="cs"/>
          <w:b/>
          <w:bCs/>
          <w:sz w:val="28"/>
          <w:szCs w:val="28"/>
          <w:rtl/>
        </w:rPr>
        <w:t>تعزيز موقع لبنان في التجارة الإقليمية</w:t>
      </w:r>
      <w:r>
        <w:rPr>
          <w:rFonts w:ascii="Simplified Arabic" w:hAnsi="Simplified Arabic" w:cs="Simplified Arabic" w:hint="cs"/>
          <w:sz w:val="28"/>
          <w:szCs w:val="28"/>
          <w:rtl/>
        </w:rPr>
        <w:t xml:space="preserve"> وإعادة تموضعه كمحور إقليمي للعبور ضمن الممرات</w:t>
      </w:r>
      <w:r w:rsidR="009369FF">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التجارية كمنفذ بديل ومكمل ل</w:t>
      </w:r>
      <w:r w:rsidR="009369FF">
        <w:rPr>
          <w:rFonts w:ascii="Simplified Arabic" w:hAnsi="Simplified Arabic" w:cs="Simplified Arabic" w:hint="cs"/>
          <w:sz w:val="28"/>
          <w:szCs w:val="28"/>
          <w:rtl/>
        </w:rPr>
        <w:t xml:space="preserve">مضيق </w:t>
      </w:r>
      <w:r>
        <w:rPr>
          <w:rFonts w:ascii="Simplified Arabic" w:hAnsi="Simplified Arabic" w:cs="Simplified Arabic" w:hint="cs"/>
          <w:sz w:val="28"/>
          <w:szCs w:val="28"/>
          <w:rtl/>
        </w:rPr>
        <w:t>هرمز وقناة السويس.</w:t>
      </w:r>
    </w:p>
    <w:p w14:paraId="16503112" w14:textId="77777777" w:rsidR="00B8546B" w:rsidRDefault="00B8546B" w:rsidP="00B8546B">
      <w:pPr>
        <w:pStyle w:val="ListParagraph"/>
        <w:bidi/>
        <w:ind w:left="1080"/>
        <w:jc w:val="both"/>
        <w:rPr>
          <w:rFonts w:ascii="Simplified Arabic" w:hAnsi="Simplified Arabic" w:cs="Simplified Arabic"/>
          <w:sz w:val="28"/>
          <w:szCs w:val="28"/>
          <w:rtl/>
        </w:rPr>
      </w:pPr>
      <w:r w:rsidRPr="00F33A70">
        <w:rPr>
          <w:rFonts w:ascii="Simplified Arabic" w:hAnsi="Simplified Arabic" w:cs="Simplified Arabic" w:hint="cs"/>
          <w:b/>
          <w:bCs/>
          <w:sz w:val="28"/>
          <w:szCs w:val="28"/>
          <w:rtl/>
        </w:rPr>
        <w:t>الحلم جميل</w:t>
      </w:r>
      <w:r>
        <w:rPr>
          <w:rFonts w:ascii="Simplified Arabic" w:hAnsi="Simplified Arabic" w:cs="Simplified Arabic" w:hint="cs"/>
          <w:sz w:val="28"/>
          <w:szCs w:val="28"/>
          <w:rtl/>
        </w:rPr>
        <w:t xml:space="preserve"> ، ونحن نشارك الحكومة هذا الحلم ، ولكن كيف يمكن تحويل لبنان الى معبر بديل لمضيق هرمز وقناة السويس وهي لا تستطيع حل مشكلة الكهرباء المزمنة التي تجاوز عمرها </w:t>
      </w:r>
      <w:r>
        <w:rPr>
          <w:rFonts w:ascii="Simplified Arabic" w:hAnsi="Simplified Arabic" w:cs="Simplified Arabic" w:hint="cs"/>
          <w:sz w:val="28"/>
          <w:szCs w:val="28"/>
          <w:rtl/>
        </w:rPr>
        <w:lastRenderedPageBreak/>
        <w:t>الخمسين سنة ، أو على الأقل</w:t>
      </w:r>
      <w:r w:rsidR="009369FF">
        <w:rPr>
          <w:rFonts w:ascii="Simplified Arabic" w:hAnsi="Simplified Arabic" w:cs="Simplified Arabic" w:hint="cs"/>
          <w:sz w:val="28"/>
          <w:szCs w:val="28"/>
          <w:rtl/>
        </w:rPr>
        <w:t xml:space="preserve"> حل مشكلة المولدات الكهربائية إ</w:t>
      </w:r>
      <w:r>
        <w:rPr>
          <w:rFonts w:ascii="Simplified Arabic" w:hAnsi="Simplified Arabic" w:cs="Simplified Arabic" w:hint="cs"/>
          <w:sz w:val="28"/>
          <w:szCs w:val="28"/>
          <w:rtl/>
        </w:rPr>
        <w:t>ن من حيث تلويثها للبيئة أو من حيث فرض أسعارها الإحتكارية على المستهلكين.</w:t>
      </w:r>
    </w:p>
    <w:p w14:paraId="1D772DB3" w14:textId="77777777" w:rsidR="00B8546B" w:rsidRDefault="00B8546B" w:rsidP="00B8546B">
      <w:pPr>
        <w:pStyle w:val="ListParagraph"/>
        <w:bidi/>
        <w:ind w:left="108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ج- </w:t>
      </w:r>
      <w:r w:rsidRPr="00F33A70">
        <w:rPr>
          <w:rFonts w:ascii="Simplified Arabic" w:hAnsi="Simplified Arabic" w:cs="Simplified Arabic" w:hint="cs"/>
          <w:b/>
          <w:bCs/>
          <w:sz w:val="28"/>
          <w:szCs w:val="28"/>
          <w:rtl/>
        </w:rPr>
        <w:t>مشاريع القروض التنموية</w:t>
      </w:r>
      <w:r>
        <w:rPr>
          <w:rFonts w:ascii="Simplified Arabic" w:hAnsi="Simplified Arabic" w:cs="Simplified Arabic" w:hint="cs"/>
          <w:sz w:val="28"/>
          <w:szCs w:val="28"/>
          <w:rtl/>
        </w:rPr>
        <w:t>:</w:t>
      </w:r>
    </w:p>
    <w:p w14:paraId="0020DB50" w14:textId="77777777" w:rsidR="00B8546B" w:rsidRDefault="00B8546B" w:rsidP="00F33A70">
      <w:pPr>
        <w:pStyle w:val="ListParagraph"/>
        <w:bidi/>
        <w:ind w:left="108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جاء في تقرير وزير المالية </w:t>
      </w:r>
      <w:r w:rsidR="00F33A70">
        <w:rPr>
          <w:rFonts w:ascii="Simplified Arabic" w:hAnsi="Simplified Arabic" w:cs="Simplified Arabic" w:hint="cs"/>
          <w:sz w:val="28"/>
          <w:szCs w:val="28"/>
          <w:rtl/>
        </w:rPr>
        <w:t>أ</w:t>
      </w:r>
      <w:r>
        <w:rPr>
          <w:rFonts w:ascii="Simplified Arabic" w:hAnsi="Simplified Arabic" w:cs="Simplified Arabic" w:hint="cs"/>
          <w:sz w:val="28"/>
          <w:szCs w:val="28"/>
          <w:rtl/>
        </w:rPr>
        <w:t xml:space="preserve">نه </w:t>
      </w:r>
      <w:r w:rsidRPr="00F33A70">
        <w:rPr>
          <w:rFonts w:ascii="Simplified Arabic" w:hAnsi="Simplified Arabic" w:cs="Simplified Arabic" w:hint="cs"/>
          <w:b/>
          <w:bCs/>
          <w:sz w:val="28"/>
          <w:szCs w:val="28"/>
          <w:rtl/>
        </w:rPr>
        <w:t>تم تأم</w:t>
      </w:r>
      <w:r w:rsidR="009369FF" w:rsidRPr="00F33A70">
        <w:rPr>
          <w:rFonts w:ascii="Simplified Arabic" w:hAnsi="Simplified Arabic" w:cs="Simplified Arabic" w:hint="cs"/>
          <w:b/>
          <w:bCs/>
          <w:sz w:val="28"/>
          <w:szCs w:val="28"/>
          <w:rtl/>
        </w:rPr>
        <w:t>ي</w:t>
      </w:r>
      <w:r w:rsidRPr="00F33A70">
        <w:rPr>
          <w:rFonts w:ascii="Simplified Arabic" w:hAnsi="Simplified Arabic" w:cs="Simplified Arabic" w:hint="cs"/>
          <w:b/>
          <w:bCs/>
          <w:sz w:val="28"/>
          <w:szCs w:val="28"/>
          <w:rtl/>
        </w:rPr>
        <w:t>ن محفظة مشاريع تنموية من البنك الدولي بقيمة 1.4 مليار</w:t>
      </w:r>
      <w:r>
        <w:rPr>
          <w:rFonts w:ascii="Simplified Arabic" w:hAnsi="Simplified Arabic" w:cs="Simplified Arabic" w:hint="cs"/>
          <w:sz w:val="28"/>
          <w:szCs w:val="28"/>
          <w:rtl/>
        </w:rPr>
        <w:t xml:space="preserve"> </w:t>
      </w:r>
      <w:r w:rsidRPr="00F33A70">
        <w:rPr>
          <w:rFonts w:ascii="Simplified Arabic" w:hAnsi="Simplified Arabic" w:cs="Simplified Arabic" w:hint="cs"/>
          <w:b/>
          <w:bCs/>
          <w:sz w:val="28"/>
          <w:szCs w:val="28"/>
          <w:rtl/>
        </w:rPr>
        <w:t>دولار</w:t>
      </w:r>
      <w:r>
        <w:rPr>
          <w:rFonts w:ascii="Simplified Arabic" w:hAnsi="Simplified Arabic" w:cs="Simplified Arabic" w:hint="cs"/>
          <w:sz w:val="28"/>
          <w:szCs w:val="28"/>
          <w:rtl/>
        </w:rPr>
        <w:t xml:space="preserve"> جاهزة للصرف في قطاعات حيوية ومحورية لدعم عملية التعافي.</w:t>
      </w:r>
    </w:p>
    <w:p w14:paraId="078A30C8" w14:textId="77777777" w:rsidR="00123DD2" w:rsidRDefault="00B8546B" w:rsidP="00F33A70">
      <w:pPr>
        <w:pStyle w:val="ListParagraph"/>
        <w:bidi/>
        <w:ind w:left="108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من حق أي مواطن أن يسأل معالي وزير المالية </w:t>
      </w:r>
      <w:r w:rsidRPr="00F33A70">
        <w:rPr>
          <w:rFonts w:ascii="Simplified Arabic" w:hAnsi="Simplified Arabic" w:cs="Simplified Arabic" w:hint="cs"/>
          <w:b/>
          <w:bCs/>
          <w:sz w:val="28"/>
          <w:szCs w:val="28"/>
          <w:rtl/>
        </w:rPr>
        <w:t xml:space="preserve">لماذا لم </w:t>
      </w:r>
      <w:r w:rsidR="009369FF" w:rsidRPr="00F33A70">
        <w:rPr>
          <w:rFonts w:ascii="Simplified Arabic" w:hAnsi="Simplified Arabic" w:cs="Simplified Arabic" w:hint="cs"/>
          <w:b/>
          <w:bCs/>
          <w:sz w:val="28"/>
          <w:szCs w:val="28"/>
          <w:rtl/>
        </w:rPr>
        <w:t>ت</w:t>
      </w:r>
      <w:r w:rsidRPr="00F33A70">
        <w:rPr>
          <w:rFonts w:ascii="Simplified Arabic" w:hAnsi="Simplified Arabic" w:cs="Simplified Arabic" w:hint="cs"/>
          <w:b/>
          <w:bCs/>
          <w:sz w:val="28"/>
          <w:szCs w:val="28"/>
          <w:rtl/>
        </w:rPr>
        <w:t>لحظ هذه القروض في موازنة الدول</w:t>
      </w:r>
      <w:r w:rsidR="009369FF" w:rsidRPr="00F33A70">
        <w:rPr>
          <w:rFonts w:ascii="Simplified Arabic" w:hAnsi="Simplified Arabic" w:cs="Simplified Arabic" w:hint="cs"/>
          <w:b/>
          <w:bCs/>
          <w:sz w:val="28"/>
          <w:szCs w:val="28"/>
          <w:rtl/>
        </w:rPr>
        <w:t>ة</w:t>
      </w:r>
      <w:r w:rsidRPr="00F33A70">
        <w:rPr>
          <w:rFonts w:ascii="Simplified Arabic" w:hAnsi="Simplified Arabic" w:cs="Simplified Arabic" w:hint="cs"/>
          <w:b/>
          <w:bCs/>
          <w:sz w:val="28"/>
          <w:szCs w:val="28"/>
          <w:rtl/>
        </w:rPr>
        <w:t xml:space="preserve"> للعام 2027 </w:t>
      </w:r>
      <w:r>
        <w:rPr>
          <w:rFonts w:ascii="Simplified Arabic" w:hAnsi="Simplified Arabic" w:cs="Simplified Arabic" w:hint="cs"/>
          <w:sz w:val="28"/>
          <w:szCs w:val="28"/>
          <w:rtl/>
        </w:rPr>
        <w:t xml:space="preserve">، أليس ذلك مخالف لأحكام الدستور ولا سيما المادة 83 منه التي قضت بأن تكون الموازنة العامة للدولة موازنة شاملة نفقات الدولة ودخلها </w:t>
      </w:r>
      <w:r w:rsidR="009369FF">
        <w:rPr>
          <w:rFonts w:ascii="Simplified Arabic" w:hAnsi="Simplified Arabic" w:cs="Simplified Arabic" w:hint="cs"/>
          <w:sz w:val="28"/>
          <w:szCs w:val="28"/>
          <w:rtl/>
        </w:rPr>
        <w:t>؟</w:t>
      </w:r>
      <w:r w:rsidR="00123DD2">
        <w:rPr>
          <w:rFonts w:ascii="Simplified Arabic" w:hAnsi="Simplified Arabic" w:cs="Simplified Arabic" w:hint="cs"/>
          <w:sz w:val="28"/>
          <w:szCs w:val="28"/>
          <w:rtl/>
        </w:rPr>
        <w:t xml:space="preserve"> أليست القروض بالمفهوم المالي والنقدي واردات إستثنائية يقتضي إدراجها في موازنة الدولة </w:t>
      </w:r>
      <w:r w:rsidR="009369FF">
        <w:rPr>
          <w:rFonts w:ascii="Simplified Arabic" w:hAnsi="Simplified Arabic" w:cs="Simplified Arabic" w:hint="cs"/>
          <w:sz w:val="28"/>
          <w:szCs w:val="28"/>
          <w:rtl/>
        </w:rPr>
        <w:t xml:space="preserve">؟ </w:t>
      </w:r>
      <w:r w:rsidR="00123DD2">
        <w:rPr>
          <w:rFonts w:ascii="Simplified Arabic" w:hAnsi="Simplified Arabic" w:cs="Simplified Arabic" w:hint="cs"/>
          <w:sz w:val="28"/>
          <w:szCs w:val="28"/>
          <w:rtl/>
        </w:rPr>
        <w:t xml:space="preserve">ثم أليس من حقنا أن نسأل على مبررات الإقتراض </w:t>
      </w:r>
      <w:r w:rsidR="00F33A70">
        <w:rPr>
          <w:rFonts w:ascii="Simplified Arabic" w:hAnsi="Simplified Arabic" w:cs="Simplified Arabic" w:hint="cs"/>
          <w:sz w:val="28"/>
          <w:szCs w:val="28"/>
          <w:rtl/>
        </w:rPr>
        <w:t>؟</w:t>
      </w:r>
      <w:r w:rsidR="00123DD2">
        <w:rPr>
          <w:rFonts w:ascii="Simplified Arabic" w:hAnsi="Simplified Arabic" w:cs="Simplified Arabic" w:hint="cs"/>
          <w:sz w:val="28"/>
          <w:szCs w:val="28"/>
          <w:rtl/>
        </w:rPr>
        <w:t xml:space="preserve"> أليس الدي</w:t>
      </w:r>
      <w:r w:rsidR="009369FF">
        <w:rPr>
          <w:rFonts w:ascii="Simplified Arabic" w:hAnsi="Simplified Arabic" w:cs="Simplified Arabic" w:hint="cs"/>
          <w:sz w:val="28"/>
          <w:szCs w:val="28"/>
          <w:rtl/>
        </w:rPr>
        <w:t>ن</w:t>
      </w:r>
      <w:r w:rsidR="00123DD2">
        <w:rPr>
          <w:rFonts w:ascii="Simplified Arabic" w:hAnsi="Simplified Arabic" w:cs="Simplified Arabic" w:hint="cs"/>
          <w:sz w:val="28"/>
          <w:szCs w:val="28"/>
          <w:rtl/>
        </w:rPr>
        <w:t xml:space="preserve"> العام وفوائده هو الذي قضى </w:t>
      </w:r>
      <w:r w:rsidR="00F33A70">
        <w:rPr>
          <w:rFonts w:ascii="Simplified Arabic" w:hAnsi="Simplified Arabic" w:cs="Simplified Arabic" w:hint="cs"/>
          <w:sz w:val="28"/>
          <w:szCs w:val="28"/>
          <w:rtl/>
        </w:rPr>
        <w:t>ع</w:t>
      </w:r>
      <w:r w:rsidR="00123DD2">
        <w:rPr>
          <w:rFonts w:ascii="Simplified Arabic" w:hAnsi="Simplified Arabic" w:cs="Simplified Arabic" w:hint="cs"/>
          <w:sz w:val="28"/>
          <w:szCs w:val="28"/>
          <w:rtl/>
        </w:rPr>
        <w:t>لى إستقرار البلاد المالي والوطني  نحن نعتقد جازمين بأنكم لا تملكون جواباً.</w:t>
      </w:r>
    </w:p>
    <w:p w14:paraId="5B7E1C48" w14:textId="77777777" w:rsidR="00123DD2" w:rsidRDefault="00123DD2" w:rsidP="00123DD2">
      <w:pPr>
        <w:pStyle w:val="ListParagraph"/>
        <w:bidi/>
        <w:ind w:left="108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د- </w:t>
      </w:r>
      <w:r w:rsidRPr="00F33A70">
        <w:rPr>
          <w:rFonts w:ascii="Simplified Arabic" w:hAnsi="Simplified Arabic" w:cs="Simplified Arabic" w:hint="cs"/>
          <w:b/>
          <w:bCs/>
          <w:sz w:val="28"/>
          <w:szCs w:val="28"/>
          <w:rtl/>
        </w:rPr>
        <w:t>تمكين الإدارة الضريبية من خلال المكننة</w:t>
      </w:r>
      <w:r>
        <w:rPr>
          <w:rFonts w:ascii="Simplified Arabic" w:hAnsi="Simplified Arabic" w:cs="Simplified Arabic" w:hint="cs"/>
          <w:sz w:val="28"/>
          <w:szCs w:val="28"/>
          <w:rtl/>
        </w:rPr>
        <w:t>:</w:t>
      </w:r>
    </w:p>
    <w:p w14:paraId="100FE425" w14:textId="77777777" w:rsidR="00123DD2" w:rsidRDefault="00123DD2" w:rsidP="00F33A70">
      <w:pPr>
        <w:pStyle w:val="ListParagraph"/>
        <w:bidi/>
        <w:ind w:left="108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وعد قديم جديد يتجدد مع كل مشروع موازنة ، إن الوسائل التقنية أصبحت متاحة للجميع وحيازتها وتعلمها ليس معجزة أو إنجاز ، ولكن يكون البديل الحل الصحيح والبديل وهو الإصلاح الجذري للنظام الضريبي </w:t>
      </w:r>
      <w:r w:rsidRPr="00F33A70">
        <w:rPr>
          <w:rFonts w:ascii="Simplified Arabic" w:hAnsi="Simplified Arabic" w:cs="Simplified Arabic" w:hint="cs"/>
          <w:b/>
          <w:bCs/>
          <w:sz w:val="28"/>
          <w:szCs w:val="28"/>
          <w:rtl/>
        </w:rPr>
        <w:t>والإنتقال من النظام الضريبي المتعدد والنوعي الى نظام الضرائب العامة التصاعدية على الدخل والإنفاق</w:t>
      </w:r>
      <w:r>
        <w:rPr>
          <w:rFonts w:ascii="Simplified Arabic" w:hAnsi="Simplified Arabic" w:cs="Simplified Arabic" w:hint="cs"/>
          <w:sz w:val="28"/>
          <w:szCs w:val="28"/>
          <w:rtl/>
        </w:rPr>
        <w:t>.</w:t>
      </w:r>
    </w:p>
    <w:p w14:paraId="4CB01C82" w14:textId="77777777" w:rsidR="00BE609B" w:rsidRDefault="00123DD2" w:rsidP="009369FF">
      <w:pPr>
        <w:pStyle w:val="ListParagraph"/>
        <w:bidi/>
        <w:ind w:left="108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ه- </w:t>
      </w:r>
      <w:r w:rsidRPr="00F33A70">
        <w:rPr>
          <w:rFonts w:ascii="Simplified Arabic" w:hAnsi="Simplified Arabic" w:cs="Simplified Arabic" w:hint="cs"/>
          <w:b/>
          <w:bCs/>
          <w:sz w:val="28"/>
          <w:szCs w:val="28"/>
          <w:rtl/>
        </w:rPr>
        <w:t xml:space="preserve">تطوير الإطار المالي </w:t>
      </w:r>
      <w:r w:rsidR="00F33A70">
        <w:rPr>
          <w:rFonts w:ascii="Simplified Arabic" w:hAnsi="Simplified Arabic" w:cs="Simplified Arabic" w:hint="cs"/>
          <w:b/>
          <w:bCs/>
          <w:sz w:val="28"/>
          <w:szCs w:val="28"/>
          <w:rtl/>
        </w:rPr>
        <w:t>م</w:t>
      </w:r>
      <w:r w:rsidRPr="00F33A70">
        <w:rPr>
          <w:rFonts w:ascii="Simplified Arabic" w:hAnsi="Simplified Arabic" w:cs="Simplified Arabic" w:hint="cs"/>
          <w:b/>
          <w:bCs/>
          <w:sz w:val="28"/>
          <w:szCs w:val="28"/>
          <w:rtl/>
        </w:rPr>
        <w:t>توسط المدى</w:t>
      </w:r>
      <w:r>
        <w:rPr>
          <w:rFonts w:ascii="Simplified Arabic" w:hAnsi="Simplified Arabic" w:cs="Simplified Arabic" w:hint="cs"/>
          <w:sz w:val="28"/>
          <w:szCs w:val="28"/>
          <w:rtl/>
        </w:rPr>
        <w:t xml:space="preserve"> للفترة 2026-2030 (خمس سنوات) بهدف تعزيز الإيرادات من خلال السياسات والإصلاحات الضريبية وتحديد سقوف الإنفاق العام، وعدم إستحداث عجز وتحقيق فوائض مالية </w:t>
      </w:r>
      <w:r w:rsidRPr="00F33A70">
        <w:rPr>
          <w:rFonts w:ascii="Simplified Arabic" w:hAnsi="Simplified Arabic" w:cs="Simplified Arabic" w:hint="cs"/>
          <w:b/>
          <w:bCs/>
          <w:sz w:val="28"/>
          <w:szCs w:val="28"/>
          <w:rtl/>
        </w:rPr>
        <w:t>تتيح إعادة رسملة المصرف المركزي واستردا</w:t>
      </w:r>
      <w:r w:rsidR="009369FF" w:rsidRPr="00F33A70">
        <w:rPr>
          <w:rFonts w:ascii="Simplified Arabic" w:hAnsi="Simplified Arabic" w:cs="Simplified Arabic" w:hint="cs"/>
          <w:b/>
          <w:bCs/>
          <w:sz w:val="28"/>
          <w:szCs w:val="28"/>
          <w:rtl/>
        </w:rPr>
        <w:t>د</w:t>
      </w:r>
      <w:r w:rsidRPr="00F33A70">
        <w:rPr>
          <w:rFonts w:ascii="Simplified Arabic" w:hAnsi="Simplified Arabic" w:cs="Simplified Arabic" w:hint="cs"/>
          <w:b/>
          <w:bCs/>
          <w:sz w:val="28"/>
          <w:szCs w:val="28"/>
          <w:rtl/>
        </w:rPr>
        <w:t xml:space="preserve"> الودائع</w:t>
      </w:r>
      <w:r>
        <w:rPr>
          <w:rFonts w:ascii="Simplified Arabic" w:hAnsi="Simplified Arabic" w:cs="Simplified Arabic" w:hint="cs"/>
          <w:sz w:val="28"/>
          <w:szCs w:val="28"/>
          <w:rtl/>
        </w:rPr>
        <w:t xml:space="preserve"> وإعادة هيكلة محفظة سندات اليوروبوند</w:t>
      </w:r>
      <w:r w:rsidR="009369FF">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وتأمين فرص تمويل للإقتصاد ، تحسين بيئة الأعمال ، التحويل الرقمي، قطاع مصرفي سليم وإدارة مالية أكثر كفاءة وإصلاح قطاع الطاقة .... وعليه تشكل موازنة العام 2027 خطوة ضمن مسار أطول هدفه الإنتقال من إدارة الأزمة الى بناء دولة أكثر قدرة على تقديم الخدمات وتحفيز الإستثمار وخلق فرص العمل والنمو....</w:t>
      </w:r>
    </w:p>
    <w:p w14:paraId="1B42827E" w14:textId="77777777" w:rsidR="003D1A7C" w:rsidRDefault="00BE609B" w:rsidP="00BE609B">
      <w:pPr>
        <w:pStyle w:val="ListParagraph"/>
        <w:bidi/>
        <w:ind w:left="1080"/>
        <w:jc w:val="both"/>
        <w:rPr>
          <w:rFonts w:ascii="Simplified Arabic" w:hAnsi="Simplified Arabic" w:cs="Simplified Arabic"/>
          <w:sz w:val="28"/>
          <w:szCs w:val="28"/>
        </w:rPr>
      </w:pPr>
      <w:r>
        <w:rPr>
          <w:rFonts w:ascii="Simplified Arabic" w:hAnsi="Simplified Arabic" w:cs="Simplified Arabic" w:hint="cs"/>
          <w:sz w:val="28"/>
          <w:szCs w:val="28"/>
          <w:rtl/>
        </w:rPr>
        <w:lastRenderedPageBreak/>
        <w:t xml:space="preserve">ووفقاً لهذا </w:t>
      </w:r>
      <w:r w:rsidRPr="000C565B">
        <w:rPr>
          <w:rFonts w:ascii="Simplified Arabic" w:hAnsi="Simplified Arabic" w:cs="Simplified Arabic" w:hint="cs"/>
          <w:b/>
          <w:bCs/>
          <w:sz w:val="28"/>
          <w:szCs w:val="28"/>
          <w:rtl/>
        </w:rPr>
        <w:t>الكلام الجميل</w:t>
      </w:r>
      <w:r w:rsidR="00006C8A" w:rsidRPr="000C565B">
        <w:rPr>
          <w:rFonts w:ascii="Simplified Arabic" w:hAnsi="Simplified Arabic" w:cs="Simplified Arabic" w:hint="cs"/>
          <w:b/>
          <w:bCs/>
          <w:sz w:val="28"/>
          <w:szCs w:val="28"/>
          <w:rtl/>
        </w:rPr>
        <w:t xml:space="preserve"> وردي الوعود</w:t>
      </w:r>
      <w:r w:rsidR="00006C8A">
        <w:rPr>
          <w:rFonts w:ascii="Simplified Arabic" w:hAnsi="Simplified Arabic" w:cs="Simplified Arabic" w:hint="cs"/>
          <w:sz w:val="28"/>
          <w:szCs w:val="28"/>
          <w:rtl/>
        </w:rPr>
        <w:t xml:space="preserve"> والذي سمعه ومله الش</w:t>
      </w:r>
      <w:r>
        <w:rPr>
          <w:rFonts w:ascii="Simplified Arabic" w:hAnsi="Simplified Arabic" w:cs="Simplified Arabic" w:hint="cs"/>
          <w:sz w:val="28"/>
          <w:szCs w:val="28"/>
          <w:rtl/>
        </w:rPr>
        <w:t>عب</w:t>
      </w:r>
      <w:r w:rsidR="00006C8A">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اللبناني منذ العام 1993 ولغاية تاريخه ، ولم يحصل إلا على الإنهيار الشامل ، فإن تقرير وزير المالية يرسم الإطار المالي متوسط المدى للموازنة العامة عن الفترة 2025-2030 وفقاً لما يلي :</w:t>
      </w:r>
      <w:r w:rsidR="00375C2B">
        <w:rPr>
          <w:rFonts w:ascii="Simplified Arabic" w:hAnsi="Simplified Arabic" w:cs="Simplified Arabic" w:hint="cs"/>
          <w:sz w:val="28"/>
          <w:szCs w:val="28"/>
          <w:rtl/>
        </w:rPr>
        <w:t xml:space="preserve"> </w:t>
      </w:r>
      <w:r w:rsidR="003D1A7C">
        <w:rPr>
          <w:rFonts w:ascii="Simplified Arabic" w:hAnsi="Simplified Arabic" w:cs="Simplified Arabic" w:hint="cs"/>
          <w:sz w:val="28"/>
          <w:szCs w:val="28"/>
          <w:rtl/>
        </w:rPr>
        <w:t xml:space="preserve"> </w:t>
      </w:r>
    </w:p>
    <w:tbl>
      <w:tblPr>
        <w:bidiVisual/>
        <w:tblW w:w="10859" w:type="dxa"/>
        <w:tblInd w:w="-567" w:type="dxa"/>
        <w:tblLook w:val="04A0" w:firstRow="1" w:lastRow="0" w:firstColumn="1" w:lastColumn="0" w:noHBand="0" w:noVBand="1"/>
      </w:tblPr>
      <w:tblGrid>
        <w:gridCol w:w="2031"/>
        <w:gridCol w:w="764"/>
        <w:gridCol w:w="922"/>
        <w:gridCol w:w="764"/>
        <w:gridCol w:w="701"/>
        <w:gridCol w:w="764"/>
        <w:gridCol w:w="701"/>
        <w:gridCol w:w="703"/>
        <w:gridCol w:w="701"/>
        <w:gridCol w:w="703"/>
        <w:gridCol w:w="701"/>
        <w:gridCol w:w="703"/>
        <w:gridCol w:w="701"/>
      </w:tblGrid>
      <w:tr w:rsidR="00C876C9" w:rsidRPr="00C876C9" w14:paraId="263E4C25" w14:textId="77777777" w:rsidTr="00C876C9">
        <w:trPr>
          <w:trHeight w:val="375"/>
        </w:trPr>
        <w:tc>
          <w:tcPr>
            <w:tcW w:w="10859" w:type="dxa"/>
            <w:gridSpan w:val="13"/>
            <w:tcBorders>
              <w:top w:val="nil"/>
              <w:left w:val="nil"/>
              <w:bottom w:val="nil"/>
              <w:right w:val="nil"/>
            </w:tcBorders>
            <w:noWrap/>
            <w:vAlign w:val="bottom"/>
            <w:hideMark/>
          </w:tcPr>
          <w:p w14:paraId="6194D864" w14:textId="77777777" w:rsidR="00C876C9" w:rsidRPr="00C876C9" w:rsidRDefault="00C876C9" w:rsidP="000C565B">
            <w:pPr>
              <w:bidi/>
              <w:spacing w:after="0" w:line="240" w:lineRule="auto"/>
              <w:jc w:val="center"/>
              <w:rPr>
                <w:rFonts w:ascii="Calibri" w:eastAsia="Times New Roman" w:hAnsi="Calibri" w:cs="Times New Roman"/>
                <w:b/>
                <w:bCs/>
                <w:color w:val="000000"/>
                <w:sz w:val="24"/>
                <w:szCs w:val="24"/>
              </w:rPr>
            </w:pPr>
            <w:r w:rsidRPr="00C876C9">
              <w:rPr>
                <w:rFonts w:ascii="Calibri" w:eastAsia="Times New Roman" w:hAnsi="Calibri" w:cs="Times New Roman"/>
                <w:b/>
                <w:bCs/>
                <w:color w:val="000000"/>
                <w:sz w:val="24"/>
                <w:szCs w:val="24"/>
                <w:rtl/>
              </w:rPr>
              <w:t>الإطار المالي متوس</w:t>
            </w:r>
            <w:r w:rsidR="000C565B">
              <w:rPr>
                <w:rFonts w:ascii="Calibri" w:eastAsia="Times New Roman" w:hAnsi="Calibri" w:cs="Times New Roman" w:hint="cs"/>
                <w:b/>
                <w:bCs/>
                <w:color w:val="000000"/>
                <w:sz w:val="24"/>
                <w:szCs w:val="24"/>
                <w:rtl/>
              </w:rPr>
              <w:t>ط المدى</w:t>
            </w:r>
            <w:r w:rsidRPr="00C876C9">
              <w:rPr>
                <w:rFonts w:ascii="Calibri" w:eastAsia="Times New Roman" w:hAnsi="Calibri" w:cs="Times New Roman"/>
                <w:b/>
                <w:bCs/>
                <w:color w:val="000000"/>
                <w:sz w:val="24"/>
                <w:szCs w:val="24"/>
                <w:rtl/>
              </w:rPr>
              <w:t xml:space="preserve"> 2025-</w:t>
            </w:r>
            <w:r w:rsidR="000C565B">
              <w:rPr>
                <w:rFonts w:ascii="Calibri" w:eastAsia="Times New Roman" w:hAnsi="Calibri" w:cs="Times New Roman" w:hint="cs"/>
                <w:b/>
                <w:bCs/>
                <w:color w:val="000000"/>
                <w:sz w:val="24"/>
                <w:szCs w:val="24"/>
                <w:rtl/>
              </w:rPr>
              <w:t xml:space="preserve"> </w:t>
            </w:r>
            <w:r w:rsidRPr="00C876C9">
              <w:rPr>
                <w:rFonts w:ascii="Calibri" w:eastAsia="Times New Roman" w:hAnsi="Calibri" w:cs="Times New Roman"/>
                <w:b/>
                <w:bCs/>
                <w:color w:val="000000"/>
                <w:sz w:val="24"/>
                <w:szCs w:val="24"/>
                <w:rtl/>
              </w:rPr>
              <w:t>2030</w:t>
            </w:r>
          </w:p>
        </w:tc>
      </w:tr>
      <w:tr w:rsidR="00C876C9" w:rsidRPr="00C876C9" w14:paraId="641D8096" w14:textId="77777777" w:rsidTr="00C876C9">
        <w:trPr>
          <w:trHeight w:val="375"/>
        </w:trPr>
        <w:tc>
          <w:tcPr>
            <w:tcW w:w="10859" w:type="dxa"/>
            <w:gridSpan w:val="13"/>
            <w:tcBorders>
              <w:top w:val="nil"/>
              <w:left w:val="nil"/>
              <w:bottom w:val="nil"/>
              <w:right w:val="nil"/>
            </w:tcBorders>
            <w:noWrap/>
            <w:vAlign w:val="bottom"/>
            <w:hideMark/>
          </w:tcPr>
          <w:p w14:paraId="3EFBFCC9" w14:textId="77777777" w:rsidR="00C876C9" w:rsidRPr="00C876C9" w:rsidRDefault="00C876C9" w:rsidP="00C876C9">
            <w:pPr>
              <w:bidi/>
              <w:spacing w:after="0" w:line="240" w:lineRule="auto"/>
              <w:jc w:val="center"/>
              <w:rPr>
                <w:rFonts w:ascii="Calibri" w:eastAsia="Times New Roman" w:hAnsi="Calibri" w:cs="Times New Roman"/>
                <w:b/>
                <w:bCs/>
                <w:color w:val="000000"/>
                <w:sz w:val="24"/>
                <w:szCs w:val="24"/>
                <w:rtl/>
              </w:rPr>
            </w:pPr>
            <w:r w:rsidRPr="00C876C9">
              <w:rPr>
                <w:rFonts w:ascii="Calibri" w:eastAsia="Times New Roman" w:hAnsi="Calibri" w:cs="Times New Roman"/>
                <w:b/>
                <w:bCs/>
                <w:color w:val="000000"/>
                <w:sz w:val="24"/>
                <w:szCs w:val="24"/>
                <w:rtl/>
              </w:rPr>
              <w:t>الموازنة العامة بعد تحويلها الى الدولار</w:t>
            </w:r>
          </w:p>
        </w:tc>
      </w:tr>
      <w:tr w:rsidR="00C876C9" w:rsidRPr="00C876C9" w14:paraId="713CC342" w14:textId="77777777" w:rsidTr="00C876C9">
        <w:trPr>
          <w:trHeight w:val="375"/>
        </w:trPr>
        <w:tc>
          <w:tcPr>
            <w:tcW w:w="2031" w:type="dxa"/>
            <w:tcBorders>
              <w:top w:val="nil"/>
              <w:left w:val="nil"/>
              <w:bottom w:val="nil"/>
              <w:right w:val="nil"/>
            </w:tcBorders>
            <w:noWrap/>
            <w:vAlign w:val="bottom"/>
            <w:hideMark/>
          </w:tcPr>
          <w:p w14:paraId="5ADAE4F7" w14:textId="77777777" w:rsidR="00C876C9" w:rsidRPr="00C876C9" w:rsidRDefault="00C876C9" w:rsidP="00C876C9">
            <w:pPr>
              <w:bidi/>
              <w:spacing w:after="0" w:line="240" w:lineRule="auto"/>
              <w:jc w:val="center"/>
              <w:rPr>
                <w:rFonts w:ascii="Calibri" w:eastAsia="Times New Roman" w:hAnsi="Calibri" w:cs="Times New Roman"/>
                <w:b/>
                <w:bCs/>
                <w:color w:val="000000"/>
                <w:sz w:val="24"/>
                <w:szCs w:val="24"/>
                <w:rtl/>
              </w:rPr>
            </w:pPr>
          </w:p>
        </w:tc>
        <w:tc>
          <w:tcPr>
            <w:tcW w:w="764" w:type="dxa"/>
            <w:tcBorders>
              <w:top w:val="nil"/>
              <w:left w:val="nil"/>
              <w:bottom w:val="nil"/>
              <w:right w:val="nil"/>
            </w:tcBorders>
            <w:noWrap/>
            <w:vAlign w:val="bottom"/>
            <w:hideMark/>
          </w:tcPr>
          <w:p w14:paraId="1A8EB5D8" w14:textId="77777777" w:rsidR="00C876C9" w:rsidRPr="00C876C9" w:rsidRDefault="00C876C9" w:rsidP="00C876C9">
            <w:pPr>
              <w:spacing w:after="0" w:line="240" w:lineRule="auto"/>
              <w:rPr>
                <w:rFonts w:ascii="Times New Roman" w:eastAsia="Times New Roman" w:hAnsi="Times New Roman" w:cs="Times New Roman"/>
                <w:sz w:val="20"/>
                <w:szCs w:val="20"/>
              </w:rPr>
            </w:pPr>
          </w:p>
        </w:tc>
        <w:tc>
          <w:tcPr>
            <w:tcW w:w="922" w:type="dxa"/>
            <w:tcBorders>
              <w:top w:val="nil"/>
              <w:left w:val="nil"/>
              <w:bottom w:val="nil"/>
              <w:right w:val="nil"/>
            </w:tcBorders>
            <w:noWrap/>
            <w:vAlign w:val="bottom"/>
            <w:hideMark/>
          </w:tcPr>
          <w:p w14:paraId="6FE2D856" w14:textId="77777777" w:rsidR="00C876C9" w:rsidRPr="00C876C9" w:rsidRDefault="00C876C9" w:rsidP="00C876C9">
            <w:pPr>
              <w:spacing w:after="0" w:line="240" w:lineRule="auto"/>
              <w:rPr>
                <w:rFonts w:ascii="Times New Roman" w:eastAsia="Times New Roman" w:hAnsi="Times New Roman" w:cs="Times New Roman"/>
                <w:sz w:val="20"/>
                <w:szCs w:val="20"/>
              </w:rPr>
            </w:pPr>
          </w:p>
        </w:tc>
        <w:tc>
          <w:tcPr>
            <w:tcW w:w="764" w:type="dxa"/>
            <w:tcBorders>
              <w:top w:val="nil"/>
              <w:left w:val="nil"/>
              <w:bottom w:val="nil"/>
              <w:right w:val="nil"/>
            </w:tcBorders>
            <w:noWrap/>
            <w:vAlign w:val="bottom"/>
            <w:hideMark/>
          </w:tcPr>
          <w:p w14:paraId="6C925646" w14:textId="77777777" w:rsidR="00C876C9" w:rsidRPr="00C876C9" w:rsidRDefault="00C876C9" w:rsidP="00C876C9">
            <w:pPr>
              <w:spacing w:after="0" w:line="240" w:lineRule="auto"/>
              <w:rPr>
                <w:rFonts w:ascii="Times New Roman" w:eastAsia="Times New Roman" w:hAnsi="Times New Roman" w:cs="Times New Roman"/>
                <w:sz w:val="20"/>
                <w:szCs w:val="20"/>
              </w:rPr>
            </w:pPr>
          </w:p>
        </w:tc>
        <w:tc>
          <w:tcPr>
            <w:tcW w:w="701" w:type="dxa"/>
            <w:tcBorders>
              <w:top w:val="nil"/>
              <w:left w:val="nil"/>
              <w:bottom w:val="nil"/>
              <w:right w:val="nil"/>
            </w:tcBorders>
            <w:noWrap/>
            <w:vAlign w:val="bottom"/>
            <w:hideMark/>
          </w:tcPr>
          <w:p w14:paraId="45049F29" w14:textId="77777777" w:rsidR="00C876C9" w:rsidRPr="00C876C9" w:rsidRDefault="00C876C9" w:rsidP="00C876C9">
            <w:pPr>
              <w:spacing w:after="0" w:line="240" w:lineRule="auto"/>
              <w:rPr>
                <w:rFonts w:ascii="Times New Roman" w:eastAsia="Times New Roman" w:hAnsi="Times New Roman" w:cs="Times New Roman"/>
                <w:sz w:val="20"/>
                <w:szCs w:val="20"/>
              </w:rPr>
            </w:pPr>
          </w:p>
        </w:tc>
        <w:tc>
          <w:tcPr>
            <w:tcW w:w="764" w:type="dxa"/>
            <w:tcBorders>
              <w:top w:val="nil"/>
              <w:left w:val="nil"/>
              <w:bottom w:val="nil"/>
              <w:right w:val="nil"/>
            </w:tcBorders>
            <w:noWrap/>
            <w:vAlign w:val="bottom"/>
            <w:hideMark/>
          </w:tcPr>
          <w:p w14:paraId="5D5AB8BE" w14:textId="77777777" w:rsidR="00C876C9" w:rsidRPr="00C876C9" w:rsidRDefault="00C876C9" w:rsidP="00C876C9">
            <w:pPr>
              <w:spacing w:after="0" w:line="240" w:lineRule="auto"/>
              <w:rPr>
                <w:rFonts w:ascii="Times New Roman" w:eastAsia="Times New Roman" w:hAnsi="Times New Roman" w:cs="Times New Roman"/>
                <w:sz w:val="20"/>
                <w:szCs w:val="20"/>
              </w:rPr>
            </w:pPr>
          </w:p>
        </w:tc>
        <w:tc>
          <w:tcPr>
            <w:tcW w:w="701" w:type="dxa"/>
            <w:tcBorders>
              <w:top w:val="nil"/>
              <w:left w:val="nil"/>
              <w:bottom w:val="nil"/>
              <w:right w:val="nil"/>
            </w:tcBorders>
            <w:noWrap/>
            <w:vAlign w:val="bottom"/>
            <w:hideMark/>
          </w:tcPr>
          <w:p w14:paraId="7C6E2A7C" w14:textId="77777777" w:rsidR="00C876C9" w:rsidRPr="00C876C9" w:rsidRDefault="00C876C9" w:rsidP="00C876C9">
            <w:pPr>
              <w:spacing w:after="0" w:line="240" w:lineRule="auto"/>
              <w:rPr>
                <w:rFonts w:ascii="Times New Roman" w:eastAsia="Times New Roman" w:hAnsi="Times New Roman" w:cs="Times New Roman"/>
                <w:sz w:val="20"/>
                <w:szCs w:val="20"/>
              </w:rPr>
            </w:pPr>
          </w:p>
        </w:tc>
        <w:tc>
          <w:tcPr>
            <w:tcW w:w="703" w:type="dxa"/>
            <w:tcBorders>
              <w:top w:val="nil"/>
              <w:left w:val="nil"/>
              <w:bottom w:val="nil"/>
              <w:right w:val="nil"/>
            </w:tcBorders>
            <w:noWrap/>
            <w:vAlign w:val="bottom"/>
            <w:hideMark/>
          </w:tcPr>
          <w:p w14:paraId="2960D29B" w14:textId="77777777" w:rsidR="00C876C9" w:rsidRPr="00C876C9" w:rsidRDefault="00C876C9" w:rsidP="00C876C9">
            <w:pPr>
              <w:spacing w:after="0" w:line="240" w:lineRule="auto"/>
              <w:rPr>
                <w:rFonts w:ascii="Times New Roman" w:eastAsia="Times New Roman" w:hAnsi="Times New Roman" w:cs="Times New Roman"/>
                <w:sz w:val="20"/>
                <w:szCs w:val="20"/>
              </w:rPr>
            </w:pPr>
          </w:p>
        </w:tc>
        <w:tc>
          <w:tcPr>
            <w:tcW w:w="701" w:type="dxa"/>
            <w:tcBorders>
              <w:top w:val="nil"/>
              <w:left w:val="nil"/>
              <w:bottom w:val="nil"/>
              <w:right w:val="nil"/>
            </w:tcBorders>
            <w:noWrap/>
            <w:vAlign w:val="bottom"/>
            <w:hideMark/>
          </w:tcPr>
          <w:p w14:paraId="027C4C05" w14:textId="77777777" w:rsidR="00C876C9" w:rsidRPr="00C876C9" w:rsidRDefault="00C876C9" w:rsidP="00C876C9">
            <w:pPr>
              <w:spacing w:after="0" w:line="240" w:lineRule="auto"/>
              <w:rPr>
                <w:rFonts w:ascii="Times New Roman" w:eastAsia="Times New Roman" w:hAnsi="Times New Roman" w:cs="Times New Roman"/>
                <w:sz w:val="20"/>
                <w:szCs w:val="20"/>
              </w:rPr>
            </w:pPr>
          </w:p>
        </w:tc>
        <w:tc>
          <w:tcPr>
            <w:tcW w:w="703" w:type="dxa"/>
            <w:tcBorders>
              <w:top w:val="nil"/>
              <w:left w:val="nil"/>
              <w:bottom w:val="nil"/>
              <w:right w:val="nil"/>
            </w:tcBorders>
            <w:noWrap/>
            <w:vAlign w:val="bottom"/>
            <w:hideMark/>
          </w:tcPr>
          <w:p w14:paraId="757D08C5" w14:textId="77777777" w:rsidR="00C876C9" w:rsidRPr="00C876C9" w:rsidRDefault="00C876C9" w:rsidP="00C876C9">
            <w:pPr>
              <w:spacing w:after="0" w:line="240" w:lineRule="auto"/>
              <w:rPr>
                <w:rFonts w:ascii="Times New Roman" w:eastAsia="Times New Roman" w:hAnsi="Times New Roman" w:cs="Times New Roman"/>
                <w:sz w:val="20"/>
                <w:szCs w:val="20"/>
              </w:rPr>
            </w:pPr>
          </w:p>
        </w:tc>
        <w:tc>
          <w:tcPr>
            <w:tcW w:w="701" w:type="dxa"/>
            <w:tcBorders>
              <w:top w:val="nil"/>
              <w:left w:val="nil"/>
              <w:bottom w:val="nil"/>
              <w:right w:val="nil"/>
            </w:tcBorders>
            <w:noWrap/>
            <w:vAlign w:val="bottom"/>
            <w:hideMark/>
          </w:tcPr>
          <w:p w14:paraId="58C66D2C" w14:textId="77777777" w:rsidR="00C876C9" w:rsidRPr="00C876C9" w:rsidRDefault="00C876C9" w:rsidP="00C876C9">
            <w:pPr>
              <w:spacing w:after="0" w:line="240" w:lineRule="auto"/>
              <w:rPr>
                <w:rFonts w:ascii="Times New Roman" w:eastAsia="Times New Roman" w:hAnsi="Times New Roman" w:cs="Times New Roman"/>
                <w:sz w:val="20"/>
                <w:szCs w:val="20"/>
              </w:rPr>
            </w:pPr>
          </w:p>
        </w:tc>
        <w:tc>
          <w:tcPr>
            <w:tcW w:w="703" w:type="dxa"/>
            <w:tcBorders>
              <w:top w:val="nil"/>
              <w:left w:val="nil"/>
              <w:bottom w:val="nil"/>
              <w:right w:val="nil"/>
            </w:tcBorders>
            <w:noWrap/>
            <w:vAlign w:val="bottom"/>
            <w:hideMark/>
          </w:tcPr>
          <w:p w14:paraId="4F570846" w14:textId="77777777" w:rsidR="00C876C9" w:rsidRPr="00C876C9" w:rsidRDefault="00C876C9" w:rsidP="00C876C9">
            <w:pPr>
              <w:spacing w:after="0" w:line="240" w:lineRule="auto"/>
              <w:rPr>
                <w:rFonts w:ascii="Times New Roman" w:eastAsia="Times New Roman" w:hAnsi="Times New Roman" w:cs="Times New Roman"/>
                <w:sz w:val="20"/>
                <w:szCs w:val="20"/>
              </w:rPr>
            </w:pPr>
          </w:p>
        </w:tc>
        <w:tc>
          <w:tcPr>
            <w:tcW w:w="701" w:type="dxa"/>
            <w:tcBorders>
              <w:top w:val="nil"/>
              <w:left w:val="nil"/>
              <w:bottom w:val="nil"/>
              <w:right w:val="nil"/>
            </w:tcBorders>
            <w:noWrap/>
            <w:vAlign w:val="bottom"/>
            <w:hideMark/>
          </w:tcPr>
          <w:p w14:paraId="58E556B8" w14:textId="77777777" w:rsidR="00C876C9" w:rsidRPr="00C876C9" w:rsidRDefault="00C876C9" w:rsidP="00C876C9">
            <w:pPr>
              <w:spacing w:after="0" w:line="240" w:lineRule="auto"/>
              <w:rPr>
                <w:rFonts w:ascii="Times New Roman" w:eastAsia="Times New Roman" w:hAnsi="Times New Roman" w:cs="Times New Roman"/>
                <w:sz w:val="20"/>
                <w:szCs w:val="20"/>
              </w:rPr>
            </w:pPr>
          </w:p>
        </w:tc>
      </w:tr>
      <w:tr w:rsidR="00C876C9" w:rsidRPr="00C876C9" w14:paraId="6422078E" w14:textId="77777777" w:rsidTr="00C876C9">
        <w:trPr>
          <w:trHeight w:val="375"/>
        </w:trPr>
        <w:tc>
          <w:tcPr>
            <w:tcW w:w="2031" w:type="dxa"/>
            <w:tcBorders>
              <w:top w:val="single" w:sz="4" w:space="0" w:color="auto"/>
              <w:left w:val="single" w:sz="4" w:space="0" w:color="auto"/>
              <w:bottom w:val="single" w:sz="4" w:space="0" w:color="auto"/>
              <w:right w:val="single" w:sz="4" w:space="0" w:color="auto"/>
            </w:tcBorders>
            <w:noWrap/>
            <w:vAlign w:val="bottom"/>
            <w:hideMark/>
          </w:tcPr>
          <w:p w14:paraId="431BA2D4" w14:textId="77777777" w:rsidR="00C876C9" w:rsidRPr="00C876C9" w:rsidRDefault="00C876C9" w:rsidP="00866C3E">
            <w:pPr>
              <w:bidi/>
              <w:spacing w:after="0" w:line="240" w:lineRule="auto"/>
              <w:jc w:val="center"/>
              <w:rPr>
                <w:rFonts w:ascii="Calibri" w:eastAsia="Times New Roman" w:hAnsi="Calibri" w:cs="Times New Roman"/>
                <w:b/>
                <w:bCs/>
                <w:color w:val="000000"/>
                <w:sz w:val="24"/>
                <w:szCs w:val="24"/>
              </w:rPr>
            </w:pPr>
            <w:r w:rsidRPr="00C876C9">
              <w:rPr>
                <w:rFonts w:ascii="Calibri" w:eastAsia="Times New Roman" w:hAnsi="Calibri" w:cs="Times New Roman"/>
                <w:b/>
                <w:bCs/>
                <w:color w:val="000000"/>
                <w:sz w:val="24"/>
                <w:szCs w:val="24"/>
                <w:rtl/>
              </w:rPr>
              <w:t>البند/ملي</w:t>
            </w:r>
            <w:r w:rsidR="00866C3E">
              <w:rPr>
                <w:rFonts w:ascii="Calibri" w:eastAsia="Times New Roman" w:hAnsi="Calibri" w:cs="Times New Roman" w:hint="cs"/>
                <w:b/>
                <w:bCs/>
                <w:color w:val="000000"/>
                <w:sz w:val="24"/>
                <w:szCs w:val="24"/>
                <w:rtl/>
              </w:rPr>
              <w:t>ون</w:t>
            </w:r>
            <w:r w:rsidRPr="00C876C9">
              <w:rPr>
                <w:rFonts w:ascii="Calibri" w:eastAsia="Times New Roman" w:hAnsi="Calibri" w:cs="Times New Roman"/>
                <w:b/>
                <w:bCs/>
                <w:color w:val="000000"/>
                <w:sz w:val="24"/>
                <w:szCs w:val="24"/>
                <w:rtl/>
              </w:rPr>
              <w:t>$</w:t>
            </w:r>
          </w:p>
        </w:tc>
        <w:tc>
          <w:tcPr>
            <w:tcW w:w="764" w:type="dxa"/>
            <w:tcBorders>
              <w:top w:val="single" w:sz="4" w:space="0" w:color="auto"/>
              <w:left w:val="single" w:sz="4" w:space="0" w:color="auto"/>
              <w:bottom w:val="single" w:sz="4" w:space="0" w:color="auto"/>
              <w:right w:val="single" w:sz="4" w:space="0" w:color="auto"/>
            </w:tcBorders>
            <w:noWrap/>
            <w:vAlign w:val="bottom"/>
            <w:hideMark/>
          </w:tcPr>
          <w:p w14:paraId="16426F91" w14:textId="77777777" w:rsidR="00C876C9" w:rsidRPr="00C876C9" w:rsidRDefault="00C876C9" w:rsidP="00C876C9">
            <w:pPr>
              <w:spacing w:after="0" w:line="240" w:lineRule="auto"/>
              <w:jc w:val="center"/>
              <w:rPr>
                <w:rFonts w:ascii="Calibri" w:eastAsia="Times New Roman" w:hAnsi="Calibri" w:cs="Times New Roman"/>
                <w:b/>
                <w:bCs/>
                <w:color w:val="000000"/>
                <w:sz w:val="24"/>
                <w:szCs w:val="24"/>
                <w:rtl/>
              </w:rPr>
            </w:pPr>
            <w:r w:rsidRPr="00C876C9">
              <w:rPr>
                <w:rFonts w:ascii="Calibri" w:eastAsia="Times New Roman" w:hAnsi="Calibri" w:cs="Times New Roman"/>
                <w:b/>
                <w:bCs/>
                <w:color w:val="000000"/>
                <w:sz w:val="24"/>
                <w:szCs w:val="24"/>
              </w:rPr>
              <w:t>2025</w:t>
            </w:r>
          </w:p>
        </w:tc>
        <w:tc>
          <w:tcPr>
            <w:tcW w:w="922" w:type="dxa"/>
            <w:tcBorders>
              <w:top w:val="single" w:sz="4" w:space="0" w:color="auto"/>
              <w:left w:val="single" w:sz="4" w:space="0" w:color="auto"/>
              <w:bottom w:val="single" w:sz="4" w:space="0" w:color="auto"/>
              <w:right w:val="single" w:sz="4" w:space="0" w:color="auto"/>
            </w:tcBorders>
            <w:noWrap/>
            <w:vAlign w:val="bottom"/>
            <w:hideMark/>
          </w:tcPr>
          <w:p w14:paraId="0DBECB45" w14:textId="77777777" w:rsidR="00C876C9" w:rsidRPr="00C876C9" w:rsidRDefault="00C876C9" w:rsidP="00C876C9">
            <w:pPr>
              <w:bidi/>
              <w:spacing w:after="0" w:line="240" w:lineRule="auto"/>
              <w:jc w:val="center"/>
              <w:rPr>
                <w:rFonts w:ascii="Calibri" w:eastAsia="Times New Roman" w:hAnsi="Calibri" w:cs="Times New Roman"/>
                <w:b/>
                <w:bCs/>
                <w:color w:val="000000"/>
                <w:sz w:val="24"/>
                <w:szCs w:val="24"/>
              </w:rPr>
            </w:pPr>
            <w:r w:rsidRPr="00C876C9">
              <w:rPr>
                <w:rFonts w:ascii="Calibri" w:eastAsia="Times New Roman" w:hAnsi="Calibri" w:cs="Times New Roman"/>
                <w:b/>
                <w:bCs/>
                <w:color w:val="000000"/>
                <w:sz w:val="24"/>
                <w:szCs w:val="24"/>
                <w:rtl/>
              </w:rPr>
              <w:t>النسبة %</w:t>
            </w:r>
          </w:p>
        </w:tc>
        <w:tc>
          <w:tcPr>
            <w:tcW w:w="764" w:type="dxa"/>
            <w:tcBorders>
              <w:top w:val="single" w:sz="4" w:space="0" w:color="auto"/>
              <w:left w:val="single" w:sz="4" w:space="0" w:color="auto"/>
              <w:bottom w:val="single" w:sz="4" w:space="0" w:color="auto"/>
              <w:right w:val="single" w:sz="4" w:space="0" w:color="auto"/>
            </w:tcBorders>
            <w:noWrap/>
            <w:vAlign w:val="bottom"/>
            <w:hideMark/>
          </w:tcPr>
          <w:p w14:paraId="6B88D561" w14:textId="77777777" w:rsidR="00C876C9" w:rsidRPr="00C876C9" w:rsidRDefault="00C876C9" w:rsidP="00C876C9">
            <w:pPr>
              <w:spacing w:after="0" w:line="240" w:lineRule="auto"/>
              <w:jc w:val="center"/>
              <w:rPr>
                <w:rFonts w:ascii="Calibri" w:eastAsia="Times New Roman" w:hAnsi="Calibri" w:cs="Times New Roman"/>
                <w:b/>
                <w:bCs/>
                <w:color w:val="000000"/>
                <w:sz w:val="24"/>
                <w:szCs w:val="24"/>
                <w:rtl/>
              </w:rPr>
            </w:pPr>
            <w:r w:rsidRPr="00C876C9">
              <w:rPr>
                <w:rFonts w:ascii="Calibri" w:eastAsia="Times New Roman" w:hAnsi="Calibri" w:cs="Times New Roman"/>
                <w:b/>
                <w:bCs/>
                <w:color w:val="000000"/>
                <w:sz w:val="24"/>
                <w:szCs w:val="24"/>
              </w:rPr>
              <w:t>2026</w:t>
            </w:r>
          </w:p>
        </w:tc>
        <w:tc>
          <w:tcPr>
            <w:tcW w:w="701" w:type="dxa"/>
            <w:tcBorders>
              <w:top w:val="single" w:sz="4" w:space="0" w:color="auto"/>
              <w:left w:val="single" w:sz="4" w:space="0" w:color="auto"/>
              <w:bottom w:val="single" w:sz="4" w:space="0" w:color="auto"/>
              <w:right w:val="single" w:sz="4" w:space="0" w:color="auto"/>
            </w:tcBorders>
            <w:noWrap/>
            <w:vAlign w:val="bottom"/>
            <w:hideMark/>
          </w:tcPr>
          <w:p w14:paraId="7B6ED6BB" w14:textId="77777777" w:rsidR="00C876C9" w:rsidRPr="00C876C9" w:rsidRDefault="00C876C9" w:rsidP="00C876C9">
            <w:pPr>
              <w:bidi/>
              <w:spacing w:after="0" w:line="240" w:lineRule="auto"/>
              <w:jc w:val="center"/>
              <w:rPr>
                <w:rFonts w:ascii="Calibri" w:eastAsia="Times New Roman" w:hAnsi="Calibri" w:cs="Times New Roman"/>
                <w:b/>
                <w:bCs/>
                <w:color w:val="000000"/>
                <w:sz w:val="24"/>
                <w:szCs w:val="24"/>
              </w:rPr>
            </w:pPr>
            <w:r w:rsidRPr="00C876C9">
              <w:rPr>
                <w:rFonts w:ascii="Calibri" w:eastAsia="Times New Roman" w:hAnsi="Calibri" w:cs="Times New Roman"/>
                <w:b/>
                <w:bCs/>
                <w:color w:val="000000"/>
                <w:sz w:val="24"/>
                <w:szCs w:val="24"/>
                <w:rtl/>
              </w:rPr>
              <w:t>النسبة</w:t>
            </w:r>
          </w:p>
        </w:tc>
        <w:tc>
          <w:tcPr>
            <w:tcW w:w="764" w:type="dxa"/>
            <w:tcBorders>
              <w:top w:val="single" w:sz="4" w:space="0" w:color="auto"/>
              <w:left w:val="single" w:sz="4" w:space="0" w:color="auto"/>
              <w:bottom w:val="single" w:sz="4" w:space="0" w:color="auto"/>
              <w:right w:val="single" w:sz="4" w:space="0" w:color="auto"/>
            </w:tcBorders>
            <w:noWrap/>
            <w:vAlign w:val="bottom"/>
            <w:hideMark/>
          </w:tcPr>
          <w:p w14:paraId="6630C4BC" w14:textId="77777777" w:rsidR="00C876C9" w:rsidRPr="00C876C9" w:rsidRDefault="00C876C9" w:rsidP="00C876C9">
            <w:pPr>
              <w:spacing w:after="0" w:line="240" w:lineRule="auto"/>
              <w:jc w:val="center"/>
              <w:rPr>
                <w:rFonts w:ascii="Calibri" w:eastAsia="Times New Roman" w:hAnsi="Calibri" w:cs="Times New Roman"/>
                <w:b/>
                <w:bCs/>
                <w:color w:val="000000"/>
                <w:sz w:val="24"/>
                <w:szCs w:val="24"/>
                <w:rtl/>
              </w:rPr>
            </w:pPr>
            <w:r w:rsidRPr="00C876C9">
              <w:rPr>
                <w:rFonts w:ascii="Calibri" w:eastAsia="Times New Roman" w:hAnsi="Calibri" w:cs="Times New Roman"/>
                <w:b/>
                <w:bCs/>
                <w:color w:val="000000"/>
                <w:sz w:val="24"/>
                <w:szCs w:val="24"/>
              </w:rPr>
              <w:t>2027</w:t>
            </w:r>
          </w:p>
        </w:tc>
        <w:tc>
          <w:tcPr>
            <w:tcW w:w="701" w:type="dxa"/>
            <w:tcBorders>
              <w:top w:val="single" w:sz="4" w:space="0" w:color="auto"/>
              <w:left w:val="single" w:sz="4" w:space="0" w:color="auto"/>
              <w:bottom w:val="single" w:sz="4" w:space="0" w:color="auto"/>
              <w:right w:val="single" w:sz="4" w:space="0" w:color="auto"/>
            </w:tcBorders>
            <w:noWrap/>
            <w:vAlign w:val="bottom"/>
            <w:hideMark/>
          </w:tcPr>
          <w:p w14:paraId="77F8436D" w14:textId="77777777" w:rsidR="00C876C9" w:rsidRPr="00C876C9" w:rsidRDefault="00C876C9" w:rsidP="00C876C9">
            <w:pPr>
              <w:bidi/>
              <w:spacing w:after="0" w:line="240" w:lineRule="auto"/>
              <w:jc w:val="center"/>
              <w:rPr>
                <w:rFonts w:ascii="Calibri" w:eastAsia="Times New Roman" w:hAnsi="Calibri" w:cs="Times New Roman"/>
                <w:b/>
                <w:bCs/>
                <w:color w:val="000000"/>
                <w:sz w:val="24"/>
                <w:szCs w:val="24"/>
              </w:rPr>
            </w:pPr>
            <w:r w:rsidRPr="00C876C9">
              <w:rPr>
                <w:rFonts w:ascii="Calibri" w:eastAsia="Times New Roman" w:hAnsi="Calibri" w:cs="Times New Roman"/>
                <w:b/>
                <w:bCs/>
                <w:color w:val="000000"/>
                <w:sz w:val="24"/>
                <w:szCs w:val="24"/>
                <w:rtl/>
              </w:rPr>
              <w:t>النسبة</w:t>
            </w:r>
          </w:p>
        </w:tc>
        <w:tc>
          <w:tcPr>
            <w:tcW w:w="703" w:type="dxa"/>
            <w:tcBorders>
              <w:top w:val="single" w:sz="4" w:space="0" w:color="auto"/>
              <w:left w:val="single" w:sz="4" w:space="0" w:color="auto"/>
              <w:bottom w:val="single" w:sz="4" w:space="0" w:color="auto"/>
              <w:right w:val="single" w:sz="4" w:space="0" w:color="auto"/>
            </w:tcBorders>
            <w:noWrap/>
            <w:vAlign w:val="bottom"/>
            <w:hideMark/>
          </w:tcPr>
          <w:p w14:paraId="0A3F925B" w14:textId="77777777" w:rsidR="00C876C9" w:rsidRPr="00C876C9" w:rsidRDefault="00C876C9" w:rsidP="00C876C9">
            <w:pPr>
              <w:spacing w:after="0" w:line="240" w:lineRule="auto"/>
              <w:jc w:val="center"/>
              <w:rPr>
                <w:rFonts w:ascii="Calibri" w:eastAsia="Times New Roman" w:hAnsi="Calibri" w:cs="Times New Roman"/>
                <w:b/>
                <w:bCs/>
                <w:color w:val="000000"/>
                <w:sz w:val="24"/>
                <w:szCs w:val="24"/>
                <w:rtl/>
              </w:rPr>
            </w:pPr>
            <w:r w:rsidRPr="00C876C9">
              <w:rPr>
                <w:rFonts w:ascii="Calibri" w:eastAsia="Times New Roman" w:hAnsi="Calibri" w:cs="Times New Roman"/>
                <w:b/>
                <w:bCs/>
                <w:color w:val="000000"/>
                <w:sz w:val="24"/>
                <w:szCs w:val="24"/>
              </w:rPr>
              <w:t>2028</w:t>
            </w:r>
          </w:p>
        </w:tc>
        <w:tc>
          <w:tcPr>
            <w:tcW w:w="701" w:type="dxa"/>
            <w:tcBorders>
              <w:top w:val="single" w:sz="4" w:space="0" w:color="auto"/>
              <w:left w:val="single" w:sz="4" w:space="0" w:color="auto"/>
              <w:bottom w:val="single" w:sz="4" w:space="0" w:color="auto"/>
              <w:right w:val="single" w:sz="4" w:space="0" w:color="auto"/>
            </w:tcBorders>
            <w:noWrap/>
            <w:vAlign w:val="bottom"/>
            <w:hideMark/>
          </w:tcPr>
          <w:p w14:paraId="43DE53F2" w14:textId="77777777" w:rsidR="00C876C9" w:rsidRPr="00C876C9" w:rsidRDefault="00C876C9" w:rsidP="00C876C9">
            <w:pPr>
              <w:bidi/>
              <w:spacing w:after="0" w:line="240" w:lineRule="auto"/>
              <w:jc w:val="center"/>
              <w:rPr>
                <w:rFonts w:ascii="Calibri" w:eastAsia="Times New Roman" w:hAnsi="Calibri" w:cs="Times New Roman"/>
                <w:b/>
                <w:bCs/>
                <w:color w:val="000000"/>
                <w:sz w:val="24"/>
                <w:szCs w:val="24"/>
              </w:rPr>
            </w:pPr>
            <w:r w:rsidRPr="00C876C9">
              <w:rPr>
                <w:rFonts w:ascii="Calibri" w:eastAsia="Times New Roman" w:hAnsi="Calibri" w:cs="Times New Roman"/>
                <w:b/>
                <w:bCs/>
                <w:color w:val="000000"/>
                <w:sz w:val="24"/>
                <w:szCs w:val="24"/>
                <w:rtl/>
              </w:rPr>
              <w:t>النسبة</w:t>
            </w:r>
          </w:p>
        </w:tc>
        <w:tc>
          <w:tcPr>
            <w:tcW w:w="703" w:type="dxa"/>
            <w:tcBorders>
              <w:top w:val="single" w:sz="4" w:space="0" w:color="auto"/>
              <w:left w:val="single" w:sz="4" w:space="0" w:color="auto"/>
              <w:bottom w:val="single" w:sz="4" w:space="0" w:color="auto"/>
              <w:right w:val="single" w:sz="4" w:space="0" w:color="auto"/>
            </w:tcBorders>
            <w:noWrap/>
            <w:vAlign w:val="bottom"/>
            <w:hideMark/>
          </w:tcPr>
          <w:p w14:paraId="43474F2B" w14:textId="77777777" w:rsidR="00C876C9" w:rsidRPr="00C876C9" w:rsidRDefault="00C876C9" w:rsidP="00C876C9">
            <w:pPr>
              <w:spacing w:after="0" w:line="240" w:lineRule="auto"/>
              <w:jc w:val="center"/>
              <w:rPr>
                <w:rFonts w:ascii="Calibri" w:eastAsia="Times New Roman" w:hAnsi="Calibri" w:cs="Times New Roman"/>
                <w:b/>
                <w:bCs/>
                <w:color w:val="000000"/>
                <w:sz w:val="24"/>
                <w:szCs w:val="24"/>
                <w:rtl/>
              </w:rPr>
            </w:pPr>
            <w:r w:rsidRPr="00C876C9">
              <w:rPr>
                <w:rFonts w:ascii="Calibri" w:eastAsia="Times New Roman" w:hAnsi="Calibri" w:cs="Times New Roman"/>
                <w:b/>
                <w:bCs/>
                <w:color w:val="000000"/>
                <w:sz w:val="24"/>
                <w:szCs w:val="24"/>
              </w:rPr>
              <w:t>2029</w:t>
            </w:r>
          </w:p>
        </w:tc>
        <w:tc>
          <w:tcPr>
            <w:tcW w:w="701" w:type="dxa"/>
            <w:tcBorders>
              <w:top w:val="single" w:sz="4" w:space="0" w:color="auto"/>
              <w:left w:val="single" w:sz="4" w:space="0" w:color="auto"/>
              <w:bottom w:val="single" w:sz="4" w:space="0" w:color="auto"/>
              <w:right w:val="single" w:sz="4" w:space="0" w:color="auto"/>
            </w:tcBorders>
            <w:noWrap/>
            <w:vAlign w:val="bottom"/>
            <w:hideMark/>
          </w:tcPr>
          <w:p w14:paraId="21B4FFD0" w14:textId="77777777" w:rsidR="00C876C9" w:rsidRPr="00C876C9" w:rsidRDefault="00C876C9" w:rsidP="00C876C9">
            <w:pPr>
              <w:bidi/>
              <w:spacing w:after="0" w:line="240" w:lineRule="auto"/>
              <w:jc w:val="center"/>
              <w:rPr>
                <w:rFonts w:ascii="Calibri" w:eastAsia="Times New Roman" w:hAnsi="Calibri" w:cs="Times New Roman"/>
                <w:b/>
                <w:bCs/>
                <w:color w:val="000000"/>
                <w:sz w:val="24"/>
                <w:szCs w:val="24"/>
              </w:rPr>
            </w:pPr>
            <w:r w:rsidRPr="00C876C9">
              <w:rPr>
                <w:rFonts w:ascii="Calibri" w:eastAsia="Times New Roman" w:hAnsi="Calibri" w:cs="Times New Roman"/>
                <w:b/>
                <w:bCs/>
                <w:color w:val="000000"/>
                <w:sz w:val="24"/>
                <w:szCs w:val="24"/>
                <w:rtl/>
              </w:rPr>
              <w:t>النسبة</w:t>
            </w:r>
          </w:p>
        </w:tc>
        <w:tc>
          <w:tcPr>
            <w:tcW w:w="703" w:type="dxa"/>
            <w:tcBorders>
              <w:top w:val="single" w:sz="4" w:space="0" w:color="auto"/>
              <w:left w:val="single" w:sz="4" w:space="0" w:color="auto"/>
              <w:bottom w:val="single" w:sz="4" w:space="0" w:color="auto"/>
              <w:right w:val="single" w:sz="4" w:space="0" w:color="auto"/>
            </w:tcBorders>
            <w:noWrap/>
            <w:vAlign w:val="bottom"/>
            <w:hideMark/>
          </w:tcPr>
          <w:p w14:paraId="37C68436" w14:textId="77777777" w:rsidR="00C876C9" w:rsidRPr="00C876C9" w:rsidRDefault="00C876C9" w:rsidP="00C876C9">
            <w:pPr>
              <w:spacing w:after="0" w:line="240" w:lineRule="auto"/>
              <w:jc w:val="center"/>
              <w:rPr>
                <w:rFonts w:ascii="Calibri" w:eastAsia="Times New Roman" w:hAnsi="Calibri" w:cs="Times New Roman"/>
                <w:b/>
                <w:bCs/>
                <w:color w:val="000000"/>
                <w:sz w:val="24"/>
                <w:szCs w:val="24"/>
                <w:rtl/>
              </w:rPr>
            </w:pPr>
            <w:r w:rsidRPr="00C876C9">
              <w:rPr>
                <w:rFonts w:ascii="Calibri" w:eastAsia="Times New Roman" w:hAnsi="Calibri" w:cs="Times New Roman"/>
                <w:b/>
                <w:bCs/>
                <w:color w:val="000000"/>
                <w:sz w:val="24"/>
                <w:szCs w:val="24"/>
              </w:rPr>
              <w:t>2030</w:t>
            </w:r>
          </w:p>
        </w:tc>
        <w:tc>
          <w:tcPr>
            <w:tcW w:w="701" w:type="dxa"/>
            <w:tcBorders>
              <w:top w:val="single" w:sz="4" w:space="0" w:color="auto"/>
              <w:left w:val="single" w:sz="4" w:space="0" w:color="auto"/>
              <w:bottom w:val="single" w:sz="4" w:space="0" w:color="auto"/>
              <w:right w:val="single" w:sz="4" w:space="0" w:color="auto"/>
            </w:tcBorders>
            <w:noWrap/>
            <w:vAlign w:val="bottom"/>
            <w:hideMark/>
          </w:tcPr>
          <w:p w14:paraId="55CAE78E" w14:textId="77777777" w:rsidR="00C876C9" w:rsidRPr="00C876C9" w:rsidRDefault="00C876C9" w:rsidP="00C876C9">
            <w:pPr>
              <w:bidi/>
              <w:spacing w:after="0" w:line="240" w:lineRule="auto"/>
              <w:jc w:val="center"/>
              <w:rPr>
                <w:rFonts w:ascii="Calibri" w:eastAsia="Times New Roman" w:hAnsi="Calibri" w:cs="Times New Roman"/>
                <w:b/>
                <w:bCs/>
                <w:color w:val="000000"/>
                <w:sz w:val="24"/>
                <w:szCs w:val="24"/>
              </w:rPr>
            </w:pPr>
            <w:r w:rsidRPr="00C876C9">
              <w:rPr>
                <w:rFonts w:ascii="Calibri" w:eastAsia="Times New Roman" w:hAnsi="Calibri" w:cs="Times New Roman"/>
                <w:b/>
                <w:bCs/>
                <w:color w:val="000000"/>
                <w:sz w:val="24"/>
                <w:szCs w:val="24"/>
                <w:rtl/>
              </w:rPr>
              <w:t>النسبة</w:t>
            </w:r>
          </w:p>
        </w:tc>
      </w:tr>
      <w:tr w:rsidR="00C876C9" w:rsidRPr="00C876C9" w14:paraId="6AFF09E2" w14:textId="77777777" w:rsidTr="00C876C9">
        <w:trPr>
          <w:trHeight w:val="375"/>
        </w:trPr>
        <w:tc>
          <w:tcPr>
            <w:tcW w:w="2031" w:type="dxa"/>
            <w:tcBorders>
              <w:top w:val="nil"/>
              <w:left w:val="single" w:sz="4" w:space="0" w:color="auto"/>
              <w:bottom w:val="single" w:sz="4" w:space="0" w:color="auto"/>
              <w:right w:val="single" w:sz="4" w:space="0" w:color="auto"/>
            </w:tcBorders>
            <w:noWrap/>
            <w:vAlign w:val="bottom"/>
            <w:hideMark/>
          </w:tcPr>
          <w:p w14:paraId="0888ABAE" w14:textId="77777777" w:rsidR="00C876C9" w:rsidRPr="008C5C72" w:rsidRDefault="00C876C9" w:rsidP="00C876C9">
            <w:pPr>
              <w:bidi/>
              <w:spacing w:after="0" w:line="240" w:lineRule="auto"/>
              <w:rPr>
                <w:rFonts w:ascii="Calibri" w:eastAsia="Times New Roman" w:hAnsi="Calibri" w:cs="Times New Roman"/>
                <w:b/>
                <w:bCs/>
                <w:color w:val="000000"/>
                <w:sz w:val="24"/>
                <w:szCs w:val="24"/>
                <w:rtl/>
              </w:rPr>
            </w:pPr>
            <w:r w:rsidRPr="008C5C72">
              <w:rPr>
                <w:rFonts w:ascii="Calibri" w:eastAsia="Times New Roman" w:hAnsi="Calibri" w:cs="Times New Roman"/>
                <w:b/>
                <w:bCs/>
                <w:color w:val="000000"/>
                <w:sz w:val="24"/>
                <w:szCs w:val="24"/>
                <w:rtl/>
              </w:rPr>
              <w:t>الإيردات</w:t>
            </w:r>
          </w:p>
        </w:tc>
        <w:tc>
          <w:tcPr>
            <w:tcW w:w="764" w:type="dxa"/>
            <w:tcBorders>
              <w:top w:val="nil"/>
              <w:left w:val="single" w:sz="4" w:space="0" w:color="auto"/>
              <w:bottom w:val="single" w:sz="4" w:space="0" w:color="auto"/>
              <w:right w:val="single" w:sz="4" w:space="0" w:color="auto"/>
            </w:tcBorders>
            <w:noWrap/>
            <w:vAlign w:val="bottom"/>
            <w:hideMark/>
          </w:tcPr>
          <w:p w14:paraId="7E2EE48F" w14:textId="77777777" w:rsidR="00C876C9" w:rsidRPr="00C876C9" w:rsidRDefault="00C876C9" w:rsidP="00866C3E">
            <w:pPr>
              <w:spacing w:after="0" w:line="240" w:lineRule="auto"/>
              <w:jc w:val="right"/>
              <w:rPr>
                <w:rFonts w:ascii="Calibri" w:eastAsia="Times New Roman" w:hAnsi="Calibri" w:cs="Times New Roman"/>
                <w:color w:val="000000"/>
                <w:sz w:val="24"/>
                <w:szCs w:val="24"/>
                <w:rtl/>
              </w:rPr>
            </w:pPr>
            <w:r w:rsidRPr="00C876C9">
              <w:rPr>
                <w:rFonts w:ascii="Calibri" w:eastAsia="Times New Roman" w:hAnsi="Calibri" w:cs="Times New Roman"/>
                <w:color w:val="000000"/>
                <w:sz w:val="24"/>
                <w:szCs w:val="24"/>
              </w:rPr>
              <w:t>5516</w:t>
            </w:r>
          </w:p>
        </w:tc>
        <w:tc>
          <w:tcPr>
            <w:tcW w:w="922" w:type="dxa"/>
            <w:tcBorders>
              <w:top w:val="nil"/>
              <w:left w:val="single" w:sz="4" w:space="0" w:color="auto"/>
              <w:bottom w:val="single" w:sz="4" w:space="0" w:color="auto"/>
              <w:right w:val="single" w:sz="4" w:space="0" w:color="auto"/>
            </w:tcBorders>
            <w:noWrap/>
            <w:vAlign w:val="bottom"/>
            <w:hideMark/>
          </w:tcPr>
          <w:p w14:paraId="6803448C" w14:textId="77777777" w:rsidR="00C876C9" w:rsidRPr="00C876C9" w:rsidRDefault="00C876C9" w:rsidP="00C876C9">
            <w:pPr>
              <w:spacing w:after="0" w:line="240" w:lineRule="auto"/>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 </w:t>
            </w:r>
          </w:p>
        </w:tc>
        <w:tc>
          <w:tcPr>
            <w:tcW w:w="764" w:type="dxa"/>
            <w:tcBorders>
              <w:top w:val="nil"/>
              <w:left w:val="single" w:sz="4" w:space="0" w:color="auto"/>
              <w:bottom w:val="single" w:sz="4" w:space="0" w:color="auto"/>
              <w:right w:val="single" w:sz="4" w:space="0" w:color="auto"/>
            </w:tcBorders>
            <w:noWrap/>
            <w:vAlign w:val="bottom"/>
            <w:hideMark/>
          </w:tcPr>
          <w:p w14:paraId="60699FC6"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6370</w:t>
            </w:r>
          </w:p>
        </w:tc>
        <w:tc>
          <w:tcPr>
            <w:tcW w:w="701" w:type="dxa"/>
            <w:tcBorders>
              <w:top w:val="nil"/>
              <w:left w:val="single" w:sz="4" w:space="0" w:color="auto"/>
              <w:bottom w:val="single" w:sz="4" w:space="0" w:color="auto"/>
              <w:right w:val="single" w:sz="4" w:space="0" w:color="auto"/>
            </w:tcBorders>
            <w:noWrap/>
            <w:vAlign w:val="bottom"/>
            <w:hideMark/>
          </w:tcPr>
          <w:p w14:paraId="4F2364DE" w14:textId="77777777" w:rsidR="00C876C9" w:rsidRPr="00C876C9" w:rsidRDefault="00C876C9" w:rsidP="00C876C9">
            <w:pPr>
              <w:spacing w:after="0" w:line="240" w:lineRule="auto"/>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 </w:t>
            </w:r>
          </w:p>
        </w:tc>
        <w:tc>
          <w:tcPr>
            <w:tcW w:w="764" w:type="dxa"/>
            <w:tcBorders>
              <w:top w:val="nil"/>
              <w:left w:val="single" w:sz="4" w:space="0" w:color="auto"/>
              <w:bottom w:val="single" w:sz="4" w:space="0" w:color="auto"/>
              <w:right w:val="single" w:sz="4" w:space="0" w:color="auto"/>
            </w:tcBorders>
            <w:noWrap/>
            <w:vAlign w:val="bottom"/>
            <w:hideMark/>
          </w:tcPr>
          <w:p w14:paraId="1BE16EBE"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6871</w:t>
            </w:r>
          </w:p>
        </w:tc>
        <w:tc>
          <w:tcPr>
            <w:tcW w:w="701" w:type="dxa"/>
            <w:tcBorders>
              <w:top w:val="nil"/>
              <w:left w:val="single" w:sz="4" w:space="0" w:color="auto"/>
              <w:bottom w:val="single" w:sz="4" w:space="0" w:color="auto"/>
              <w:right w:val="single" w:sz="4" w:space="0" w:color="auto"/>
            </w:tcBorders>
            <w:noWrap/>
            <w:vAlign w:val="bottom"/>
            <w:hideMark/>
          </w:tcPr>
          <w:p w14:paraId="32623D8D" w14:textId="77777777" w:rsidR="00C876C9" w:rsidRPr="00C876C9" w:rsidRDefault="00C876C9" w:rsidP="00C876C9">
            <w:pPr>
              <w:spacing w:after="0" w:line="240" w:lineRule="auto"/>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 </w:t>
            </w:r>
          </w:p>
        </w:tc>
        <w:tc>
          <w:tcPr>
            <w:tcW w:w="703" w:type="dxa"/>
            <w:tcBorders>
              <w:top w:val="nil"/>
              <w:left w:val="single" w:sz="4" w:space="0" w:color="auto"/>
              <w:bottom w:val="single" w:sz="4" w:space="0" w:color="auto"/>
              <w:right w:val="single" w:sz="4" w:space="0" w:color="auto"/>
            </w:tcBorders>
            <w:noWrap/>
            <w:vAlign w:val="bottom"/>
            <w:hideMark/>
          </w:tcPr>
          <w:p w14:paraId="7DE00B7B"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7518</w:t>
            </w:r>
          </w:p>
        </w:tc>
        <w:tc>
          <w:tcPr>
            <w:tcW w:w="701" w:type="dxa"/>
            <w:tcBorders>
              <w:top w:val="nil"/>
              <w:left w:val="single" w:sz="4" w:space="0" w:color="auto"/>
              <w:bottom w:val="single" w:sz="4" w:space="0" w:color="auto"/>
              <w:right w:val="single" w:sz="4" w:space="0" w:color="auto"/>
            </w:tcBorders>
            <w:noWrap/>
            <w:vAlign w:val="bottom"/>
            <w:hideMark/>
          </w:tcPr>
          <w:p w14:paraId="172575E8" w14:textId="77777777" w:rsidR="00C876C9" w:rsidRPr="00C876C9" w:rsidRDefault="00C876C9" w:rsidP="00C876C9">
            <w:pPr>
              <w:spacing w:after="0" w:line="240" w:lineRule="auto"/>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 </w:t>
            </w:r>
          </w:p>
        </w:tc>
        <w:tc>
          <w:tcPr>
            <w:tcW w:w="703" w:type="dxa"/>
            <w:tcBorders>
              <w:top w:val="nil"/>
              <w:left w:val="single" w:sz="4" w:space="0" w:color="auto"/>
              <w:bottom w:val="single" w:sz="4" w:space="0" w:color="auto"/>
              <w:right w:val="single" w:sz="4" w:space="0" w:color="auto"/>
            </w:tcBorders>
            <w:noWrap/>
            <w:vAlign w:val="bottom"/>
            <w:hideMark/>
          </w:tcPr>
          <w:p w14:paraId="13290174"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8182</w:t>
            </w:r>
          </w:p>
        </w:tc>
        <w:tc>
          <w:tcPr>
            <w:tcW w:w="701" w:type="dxa"/>
            <w:tcBorders>
              <w:top w:val="nil"/>
              <w:left w:val="single" w:sz="4" w:space="0" w:color="auto"/>
              <w:bottom w:val="single" w:sz="4" w:space="0" w:color="auto"/>
              <w:right w:val="single" w:sz="4" w:space="0" w:color="auto"/>
            </w:tcBorders>
            <w:noWrap/>
            <w:vAlign w:val="bottom"/>
            <w:hideMark/>
          </w:tcPr>
          <w:p w14:paraId="27296D26" w14:textId="77777777" w:rsidR="00C876C9" w:rsidRPr="00C876C9" w:rsidRDefault="00C876C9" w:rsidP="00C876C9">
            <w:pPr>
              <w:spacing w:after="0" w:line="240" w:lineRule="auto"/>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 </w:t>
            </w:r>
          </w:p>
        </w:tc>
        <w:tc>
          <w:tcPr>
            <w:tcW w:w="703" w:type="dxa"/>
            <w:tcBorders>
              <w:top w:val="nil"/>
              <w:left w:val="single" w:sz="4" w:space="0" w:color="auto"/>
              <w:bottom w:val="single" w:sz="4" w:space="0" w:color="auto"/>
              <w:right w:val="single" w:sz="4" w:space="0" w:color="auto"/>
            </w:tcBorders>
            <w:noWrap/>
            <w:vAlign w:val="bottom"/>
            <w:hideMark/>
          </w:tcPr>
          <w:p w14:paraId="7B4D1282"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8817</w:t>
            </w:r>
          </w:p>
        </w:tc>
        <w:tc>
          <w:tcPr>
            <w:tcW w:w="701" w:type="dxa"/>
            <w:tcBorders>
              <w:top w:val="nil"/>
              <w:left w:val="single" w:sz="4" w:space="0" w:color="auto"/>
              <w:bottom w:val="single" w:sz="4" w:space="0" w:color="auto"/>
              <w:right w:val="single" w:sz="4" w:space="0" w:color="auto"/>
            </w:tcBorders>
            <w:noWrap/>
            <w:vAlign w:val="bottom"/>
            <w:hideMark/>
          </w:tcPr>
          <w:p w14:paraId="56CBFEE9" w14:textId="77777777" w:rsidR="00C876C9" w:rsidRPr="00C876C9" w:rsidRDefault="00C876C9" w:rsidP="00C876C9">
            <w:pPr>
              <w:spacing w:after="0" w:line="240" w:lineRule="auto"/>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 </w:t>
            </w:r>
          </w:p>
        </w:tc>
      </w:tr>
      <w:tr w:rsidR="00C876C9" w:rsidRPr="00C876C9" w14:paraId="69D44C4F" w14:textId="77777777" w:rsidTr="00C876C9">
        <w:trPr>
          <w:trHeight w:val="375"/>
        </w:trPr>
        <w:tc>
          <w:tcPr>
            <w:tcW w:w="2031" w:type="dxa"/>
            <w:tcBorders>
              <w:top w:val="nil"/>
              <w:left w:val="single" w:sz="4" w:space="0" w:color="auto"/>
              <w:bottom w:val="single" w:sz="4" w:space="0" w:color="auto"/>
              <w:right w:val="single" w:sz="4" w:space="0" w:color="auto"/>
            </w:tcBorders>
            <w:noWrap/>
            <w:vAlign w:val="bottom"/>
            <w:hideMark/>
          </w:tcPr>
          <w:p w14:paraId="552B09C1" w14:textId="77777777" w:rsidR="00C876C9" w:rsidRPr="00C876C9" w:rsidRDefault="00C876C9" w:rsidP="00C876C9">
            <w:pPr>
              <w:bidi/>
              <w:spacing w:after="0" w:line="240" w:lineRule="auto"/>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tl/>
              </w:rPr>
              <w:t>الإيردات الضريبية</w:t>
            </w:r>
          </w:p>
        </w:tc>
        <w:tc>
          <w:tcPr>
            <w:tcW w:w="764" w:type="dxa"/>
            <w:tcBorders>
              <w:top w:val="nil"/>
              <w:left w:val="single" w:sz="4" w:space="0" w:color="auto"/>
              <w:bottom w:val="single" w:sz="4" w:space="0" w:color="auto"/>
              <w:right w:val="single" w:sz="4" w:space="0" w:color="auto"/>
            </w:tcBorders>
            <w:noWrap/>
            <w:vAlign w:val="bottom"/>
            <w:hideMark/>
          </w:tcPr>
          <w:p w14:paraId="6F220541" w14:textId="77777777" w:rsidR="00C876C9" w:rsidRPr="00C876C9" w:rsidRDefault="00C876C9" w:rsidP="00866C3E">
            <w:pPr>
              <w:spacing w:after="0" w:line="240" w:lineRule="auto"/>
              <w:jc w:val="right"/>
              <w:rPr>
                <w:rFonts w:ascii="Calibri" w:eastAsia="Times New Roman" w:hAnsi="Calibri" w:cs="Times New Roman"/>
                <w:color w:val="000000"/>
                <w:sz w:val="24"/>
                <w:szCs w:val="24"/>
                <w:rtl/>
              </w:rPr>
            </w:pPr>
            <w:r w:rsidRPr="00C876C9">
              <w:rPr>
                <w:rFonts w:ascii="Calibri" w:eastAsia="Times New Roman" w:hAnsi="Calibri" w:cs="Times New Roman"/>
                <w:color w:val="000000"/>
                <w:sz w:val="24"/>
                <w:szCs w:val="24"/>
              </w:rPr>
              <w:t>4646</w:t>
            </w:r>
          </w:p>
        </w:tc>
        <w:tc>
          <w:tcPr>
            <w:tcW w:w="922" w:type="dxa"/>
            <w:tcBorders>
              <w:top w:val="nil"/>
              <w:left w:val="single" w:sz="4" w:space="0" w:color="auto"/>
              <w:bottom w:val="single" w:sz="4" w:space="0" w:color="auto"/>
              <w:right w:val="single" w:sz="4" w:space="0" w:color="auto"/>
            </w:tcBorders>
            <w:noWrap/>
            <w:vAlign w:val="bottom"/>
            <w:hideMark/>
          </w:tcPr>
          <w:p w14:paraId="07308E25"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84</w:t>
            </w:r>
          </w:p>
        </w:tc>
        <w:tc>
          <w:tcPr>
            <w:tcW w:w="764" w:type="dxa"/>
            <w:tcBorders>
              <w:top w:val="nil"/>
              <w:left w:val="single" w:sz="4" w:space="0" w:color="auto"/>
              <w:bottom w:val="single" w:sz="4" w:space="0" w:color="auto"/>
              <w:right w:val="single" w:sz="4" w:space="0" w:color="auto"/>
            </w:tcBorders>
            <w:noWrap/>
            <w:vAlign w:val="bottom"/>
            <w:hideMark/>
          </w:tcPr>
          <w:p w14:paraId="6CC9DAE9"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5423</w:t>
            </w:r>
          </w:p>
        </w:tc>
        <w:tc>
          <w:tcPr>
            <w:tcW w:w="701" w:type="dxa"/>
            <w:tcBorders>
              <w:top w:val="nil"/>
              <w:left w:val="single" w:sz="4" w:space="0" w:color="auto"/>
              <w:bottom w:val="single" w:sz="4" w:space="0" w:color="auto"/>
              <w:right w:val="single" w:sz="4" w:space="0" w:color="auto"/>
            </w:tcBorders>
            <w:noWrap/>
            <w:vAlign w:val="bottom"/>
            <w:hideMark/>
          </w:tcPr>
          <w:p w14:paraId="16E002B3"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85</w:t>
            </w:r>
          </w:p>
        </w:tc>
        <w:tc>
          <w:tcPr>
            <w:tcW w:w="764" w:type="dxa"/>
            <w:tcBorders>
              <w:top w:val="nil"/>
              <w:left w:val="single" w:sz="4" w:space="0" w:color="auto"/>
              <w:bottom w:val="single" w:sz="4" w:space="0" w:color="auto"/>
              <w:right w:val="single" w:sz="4" w:space="0" w:color="auto"/>
            </w:tcBorders>
            <w:noWrap/>
            <w:vAlign w:val="bottom"/>
            <w:hideMark/>
          </w:tcPr>
          <w:p w14:paraId="2AD44FCA"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5894</w:t>
            </w:r>
          </w:p>
        </w:tc>
        <w:tc>
          <w:tcPr>
            <w:tcW w:w="701" w:type="dxa"/>
            <w:tcBorders>
              <w:top w:val="nil"/>
              <w:left w:val="single" w:sz="4" w:space="0" w:color="auto"/>
              <w:bottom w:val="single" w:sz="4" w:space="0" w:color="auto"/>
              <w:right w:val="single" w:sz="4" w:space="0" w:color="auto"/>
            </w:tcBorders>
            <w:noWrap/>
            <w:vAlign w:val="bottom"/>
            <w:hideMark/>
          </w:tcPr>
          <w:p w14:paraId="2E05CC27"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86</w:t>
            </w:r>
          </w:p>
        </w:tc>
        <w:tc>
          <w:tcPr>
            <w:tcW w:w="703" w:type="dxa"/>
            <w:tcBorders>
              <w:top w:val="nil"/>
              <w:left w:val="single" w:sz="4" w:space="0" w:color="auto"/>
              <w:bottom w:val="single" w:sz="4" w:space="0" w:color="auto"/>
              <w:right w:val="single" w:sz="4" w:space="0" w:color="auto"/>
            </w:tcBorders>
            <w:noWrap/>
            <w:vAlign w:val="bottom"/>
            <w:hideMark/>
          </w:tcPr>
          <w:p w14:paraId="2F75D0DB"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6849</w:t>
            </w:r>
          </w:p>
        </w:tc>
        <w:tc>
          <w:tcPr>
            <w:tcW w:w="701" w:type="dxa"/>
            <w:tcBorders>
              <w:top w:val="nil"/>
              <w:left w:val="single" w:sz="4" w:space="0" w:color="auto"/>
              <w:bottom w:val="single" w:sz="4" w:space="0" w:color="auto"/>
              <w:right w:val="single" w:sz="4" w:space="0" w:color="auto"/>
            </w:tcBorders>
            <w:noWrap/>
            <w:vAlign w:val="bottom"/>
            <w:hideMark/>
          </w:tcPr>
          <w:p w14:paraId="55DA2F7C"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86</w:t>
            </w:r>
          </w:p>
        </w:tc>
        <w:tc>
          <w:tcPr>
            <w:tcW w:w="703" w:type="dxa"/>
            <w:tcBorders>
              <w:top w:val="nil"/>
              <w:left w:val="single" w:sz="4" w:space="0" w:color="auto"/>
              <w:bottom w:val="single" w:sz="4" w:space="0" w:color="auto"/>
              <w:right w:val="single" w:sz="4" w:space="0" w:color="auto"/>
            </w:tcBorders>
            <w:noWrap/>
            <w:vAlign w:val="bottom"/>
            <w:hideMark/>
          </w:tcPr>
          <w:p w14:paraId="2E5C7E4A"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7102</w:t>
            </w:r>
          </w:p>
        </w:tc>
        <w:tc>
          <w:tcPr>
            <w:tcW w:w="701" w:type="dxa"/>
            <w:tcBorders>
              <w:top w:val="nil"/>
              <w:left w:val="single" w:sz="4" w:space="0" w:color="auto"/>
              <w:bottom w:val="single" w:sz="4" w:space="0" w:color="auto"/>
              <w:right w:val="single" w:sz="4" w:space="0" w:color="auto"/>
            </w:tcBorders>
            <w:noWrap/>
            <w:vAlign w:val="bottom"/>
            <w:hideMark/>
          </w:tcPr>
          <w:p w14:paraId="2D65B959"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87</w:t>
            </w:r>
          </w:p>
        </w:tc>
        <w:tc>
          <w:tcPr>
            <w:tcW w:w="703" w:type="dxa"/>
            <w:tcBorders>
              <w:top w:val="nil"/>
              <w:left w:val="single" w:sz="4" w:space="0" w:color="auto"/>
              <w:bottom w:val="single" w:sz="4" w:space="0" w:color="auto"/>
              <w:right w:val="single" w:sz="4" w:space="0" w:color="auto"/>
            </w:tcBorders>
            <w:noWrap/>
            <w:vAlign w:val="bottom"/>
            <w:hideMark/>
          </w:tcPr>
          <w:p w14:paraId="3284445B"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7690</w:t>
            </w:r>
          </w:p>
        </w:tc>
        <w:tc>
          <w:tcPr>
            <w:tcW w:w="701" w:type="dxa"/>
            <w:tcBorders>
              <w:top w:val="nil"/>
              <w:left w:val="single" w:sz="4" w:space="0" w:color="auto"/>
              <w:bottom w:val="single" w:sz="4" w:space="0" w:color="auto"/>
              <w:right w:val="single" w:sz="4" w:space="0" w:color="auto"/>
            </w:tcBorders>
            <w:noWrap/>
            <w:vAlign w:val="bottom"/>
            <w:hideMark/>
          </w:tcPr>
          <w:p w14:paraId="173F134E"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87</w:t>
            </w:r>
          </w:p>
        </w:tc>
      </w:tr>
      <w:tr w:rsidR="00C876C9" w:rsidRPr="00C876C9" w14:paraId="5AF08873" w14:textId="77777777" w:rsidTr="00C876C9">
        <w:trPr>
          <w:trHeight w:val="375"/>
        </w:trPr>
        <w:tc>
          <w:tcPr>
            <w:tcW w:w="2031" w:type="dxa"/>
            <w:tcBorders>
              <w:top w:val="nil"/>
              <w:left w:val="single" w:sz="4" w:space="0" w:color="auto"/>
              <w:bottom w:val="single" w:sz="4" w:space="0" w:color="auto"/>
              <w:right w:val="single" w:sz="4" w:space="0" w:color="auto"/>
            </w:tcBorders>
            <w:noWrap/>
            <w:vAlign w:val="bottom"/>
            <w:hideMark/>
          </w:tcPr>
          <w:p w14:paraId="10805CA7" w14:textId="77777777" w:rsidR="00C876C9" w:rsidRPr="00C876C9" w:rsidRDefault="00C876C9" w:rsidP="00C876C9">
            <w:pPr>
              <w:bidi/>
              <w:spacing w:after="0" w:line="240" w:lineRule="auto"/>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tl/>
              </w:rPr>
              <w:t>الإيردات غير الضريبية</w:t>
            </w:r>
          </w:p>
        </w:tc>
        <w:tc>
          <w:tcPr>
            <w:tcW w:w="764" w:type="dxa"/>
            <w:tcBorders>
              <w:top w:val="nil"/>
              <w:left w:val="single" w:sz="4" w:space="0" w:color="auto"/>
              <w:bottom w:val="single" w:sz="4" w:space="0" w:color="auto"/>
              <w:right w:val="single" w:sz="4" w:space="0" w:color="auto"/>
            </w:tcBorders>
            <w:noWrap/>
            <w:vAlign w:val="bottom"/>
            <w:hideMark/>
          </w:tcPr>
          <w:p w14:paraId="276F2000" w14:textId="77777777" w:rsidR="00C876C9" w:rsidRPr="00C876C9" w:rsidRDefault="00C876C9" w:rsidP="00C876C9">
            <w:pPr>
              <w:spacing w:after="0" w:line="240" w:lineRule="auto"/>
              <w:jc w:val="right"/>
              <w:rPr>
                <w:rFonts w:ascii="Calibri" w:eastAsia="Times New Roman" w:hAnsi="Calibri" w:cs="Times New Roman"/>
                <w:color w:val="000000"/>
                <w:sz w:val="24"/>
                <w:szCs w:val="24"/>
                <w:rtl/>
              </w:rPr>
            </w:pPr>
            <w:r w:rsidRPr="00C876C9">
              <w:rPr>
                <w:rFonts w:ascii="Calibri" w:eastAsia="Times New Roman" w:hAnsi="Calibri" w:cs="Times New Roman"/>
                <w:color w:val="000000"/>
                <w:sz w:val="24"/>
                <w:szCs w:val="24"/>
              </w:rPr>
              <w:t>87</w:t>
            </w:r>
          </w:p>
        </w:tc>
        <w:tc>
          <w:tcPr>
            <w:tcW w:w="922" w:type="dxa"/>
            <w:tcBorders>
              <w:top w:val="nil"/>
              <w:left w:val="single" w:sz="4" w:space="0" w:color="auto"/>
              <w:bottom w:val="single" w:sz="4" w:space="0" w:color="auto"/>
              <w:right w:val="single" w:sz="4" w:space="0" w:color="auto"/>
            </w:tcBorders>
            <w:noWrap/>
            <w:vAlign w:val="bottom"/>
            <w:hideMark/>
          </w:tcPr>
          <w:p w14:paraId="6D2B75B7"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16</w:t>
            </w:r>
          </w:p>
        </w:tc>
        <w:tc>
          <w:tcPr>
            <w:tcW w:w="764" w:type="dxa"/>
            <w:tcBorders>
              <w:top w:val="nil"/>
              <w:left w:val="single" w:sz="4" w:space="0" w:color="auto"/>
              <w:bottom w:val="single" w:sz="4" w:space="0" w:color="auto"/>
              <w:right w:val="single" w:sz="4" w:space="0" w:color="auto"/>
            </w:tcBorders>
            <w:noWrap/>
            <w:vAlign w:val="bottom"/>
            <w:hideMark/>
          </w:tcPr>
          <w:p w14:paraId="374FE5E4"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947</w:t>
            </w:r>
          </w:p>
        </w:tc>
        <w:tc>
          <w:tcPr>
            <w:tcW w:w="701" w:type="dxa"/>
            <w:tcBorders>
              <w:top w:val="nil"/>
              <w:left w:val="single" w:sz="4" w:space="0" w:color="auto"/>
              <w:bottom w:val="single" w:sz="4" w:space="0" w:color="auto"/>
              <w:right w:val="single" w:sz="4" w:space="0" w:color="auto"/>
            </w:tcBorders>
            <w:noWrap/>
            <w:vAlign w:val="bottom"/>
            <w:hideMark/>
          </w:tcPr>
          <w:p w14:paraId="0F3331C6"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15</w:t>
            </w:r>
          </w:p>
        </w:tc>
        <w:tc>
          <w:tcPr>
            <w:tcW w:w="764" w:type="dxa"/>
            <w:tcBorders>
              <w:top w:val="nil"/>
              <w:left w:val="single" w:sz="4" w:space="0" w:color="auto"/>
              <w:bottom w:val="single" w:sz="4" w:space="0" w:color="auto"/>
              <w:right w:val="single" w:sz="4" w:space="0" w:color="auto"/>
            </w:tcBorders>
            <w:noWrap/>
            <w:vAlign w:val="bottom"/>
            <w:hideMark/>
          </w:tcPr>
          <w:p w14:paraId="3A093985"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976</w:t>
            </w:r>
          </w:p>
        </w:tc>
        <w:tc>
          <w:tcPr>
            <w:tcW w:w="701" w:type="dxa"/>
            <w:tcBorders>
              <w:top w:val="nil"/>
              <w:left w:val="single" w:sz="4" w:space="0" w:color="auto"/>
              <w:bottom w:val="single" w:sz="4" w:space="0" w:color="auto"/>
              <w:right w:val="single" w:sz="4" w:space="0" w:color="auto"/>
            </w:tcBorders>
            <w:noWrap/>
            <w:vAlign w:val="bottom"/>
            <w:hideMark/>
          </w:tcPr>
          <w:p w14:paraId="0EF06CD3"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14</w:t>
            </w:r>
          </w:p>
        </w:tc>
        <w:tc>
          <w:tcPr>
            <w:tcW w:w="703" w:type="dxa"/>
            <w:tcBorders>
              <w:top w:val="nil"/>
              <w:left w:val="single" w:sz="4" w:space="0" w:color="auto"/>
              <w:bottom w:val="single" w:sz="4" w:space="0" w:color="auto"/>
              <w:right w:val="single" w:sz="4" w:space="0" w:color="auto"/>
            </w:tcBorders>
            <w:noWrap/>
            <w:vAlign w:val="bottom"/>
            <w:hideMark/>
          </w:tcPr>
          <w:p w14:paraId="388B9566"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1028</w:t>
            </w:r>
          </w:p>
        </w:tc>
        <w:tc>
          <w:tcPr>
            <w:tcW w:w="701" w:type="dxa"/>
            <w:tcBorders>
              <w:top w:val="nil"/>
              <w:left w:val="single" w:sz="4" w:space="0" w:color="auto"/>
              <w:bottom w:val="single" w:sz="4" w:space="0" w:color="auto"/>
              <w:right w:val="single" w:sz="4" w:space="0" w:color="auto"/>
            </w:tcBorders>
            <w:noWrap/>
            <w:vAlign w:val="bottom"/>
            <w:hideMark/>
          </w:tcPr>
          <w:p w14:paraId="5DEF2D1D"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14</w:t>
            </w:r>
          </w:p>
        </w:tc>
        <w:tc>
          <w:tcPr>
            <w:tcW w:w="703" w:type="dxa"/>
            <w:tcBorders>
              <w:top w:val="nil"/>
              <w:left w:val="single" w:sz="4" w:space="0" w:color="auto"/>
              <w:bottom w:val="single" w:sz="4" w:space="0" w:color="auto"/>
              <w:right w:val="single" w:sz="4" w:space="0" w:color="auto"/>
            </w:tcBorders>
            <w:noWrap/>
            <w:vAlign w:val="bottom"/>
            <w:hideMark/>
          </w:tcPr>
          <w:p w14:paraId="3BA2A12E"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1080</w:t>
            </w:r>
          </w:p>
        </w:tc>
        <w:tc>
          <w:tcPr>
            <w:tcW w:w="701" w:type="dxa"/>
            <w:tcBorders>
              <w:top w:val="nil"/>
              <w:left w:val="single" w:sz="4" w:space="0" w:color="auto"/>
              <w:bottom w:val="single" w:sz="4" w:space="0" w:color="auto"/>
              <w:right w:val="single" w:sz="4" w:space="0" w:color="auto"/>
            </w:tcBorders>
            <w:noWrap/>
            <w:vAlign w:val="bottom"/>
            <w:hideMark/>
          </w:tcPr>
          <w:p w14:paraId="690E2DE9"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13</w:t>
            </w:r>
          </w:p>
        </w:tc>
        <w:tc>
          <w:tcPr>
            <w:tcW w:w="703" w:type="dxa"/>
            <w:tcBorders>
              <w:top w:val="nil"/>
              <w:left w:val="single" w:sz="4" w:space="0" w:color="auto"/>
              <w:bottom w:val="single" w:sz="4" w:space="0" w:color="auto"/>
              <w:right w:val="single" w:sz="4" w:space="0" w:color="auto"/>
            </w:tcBorders>
            <w:noWrap/>
            <w:vAlign w:val="bottom"/>
            <w:hideMark/>
          </w:tcPr>
          <w:p w14:paraId="6004396E"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1128</w:t>
            </w:r>
          </w:p>
        </w:tc>
        <w:tc>
          <w:tcPr>
            <w:tcW w:w="701" w:type="dxa"/>
            <w:tcBorders>
              <w:top w:val="nil"/>
              <w:left w:val="single" w:sz="4" w:space="0" w:color="auto"/>
              <w:bottom w:val="single" w:sz="4" w:space="0" w:color="auto"/>
              <w:right w:val="single" w:sz="4" w:space="0" w:color="auto"/>
            </w:tcBorders>
            <w:noWrap/>
            <w:vAlign w:val="bottom"/>
            <w:hideMark/>
          </w:tcPr>
          <w:p w14:paraId="1D1C1F7C"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13</w:t>
            </w:r>
          </w:p>
        </w:tc>
      </w:tr>
      <w:tr w:rsidR="00C876C9" w:rsidRPr="00C876C9" w14:paraId="4BD45F65" w14:textId="77777777" w:rsidTr="00C876C9">
        <w:trPr>
          <w:trHeight w:val="375"/>
        </w:trPr>
        <w:tc>
          <w:tcPr>
            <w:tcW w:w="2031" w:type="dxa"/>
            <w:tcBorders>
              <w:top w:val="nil"/>
              <w:left w:val="single" w:sz="4" w:space="0" w:color="auto"/>
              <w:bottom w:val="single" w:sz="4" w:space="0" w:color="auto"/>
              <w:right w:val="single" w:sz="4" w:space="0" w:color="auto"/>
            </w:tcBorders>
            <w:noWrap/>
            <w:vAlign w:val="bottom"/>
            <w:hideMark/>
          </w:tcPr>
          <w:p w14:paraId="58AF8AA7" w14:textId="77777777" w:rsidR="00C876C9" w:rsidRPr="008C5C72" w:rsidRDefault="00C876C9" w:rsidP="00C876C9">
            <w:pPr>
              <w:bidi/>
              <w:spacing w:after="0" w:line="240" w:lineRule="auto"/>
              <w:rPr>
                <w:rFonts w:ascii="Calibri" w:eastAsia="Times New Roman" w:hAnsi="Calibri" w:cs="Times New Roman"/>
                <w:b/>
                <w:bCs/>
                <w:color w:val="000000"/>
                <w:sz w:val="24"/>
                <w:szCs w:val="24"/>
              </w:rPr>
            </w:pPr>
            <w:r w:rsidRPr="008C5C72">
              <w:rPr>
                <w:rFonts w:ascii="Calibri" w:eastAsia="Times New Roman" w:hAnsi="Calibri" w:cs="Times New Roman"/>
                <w:b/>
                <w:bCs/>
                <w:color w:val="000000"/>
                <w:sz w:val="24"/>
                <w:szCs w:val="24"/>
                <w:rtl/>
              </w:rPr>
              <w:t>النفقات</w:t>
            </w:r>
          </w:p>
        </w:tc>
        <w:tc>
          <w:tcPr>
            <w:tcW w:w="764" w:type="dxa"/>
            <w:tcBorders>
              <w:top w:val="nil"/>
              <w:left w:val="single" w:sz="4" w:space="0" w:color="auto"/>
              <w:bottom w:val="single" w:sz="4" w:space="0" w:color="auto"/>
              <w:right w:val="single" w:sz="4" w:space="0" w:color="auto"/>
            </w:tcBorders>
            <w:noWrap/>
            <w:vAlign w:val="bottom"/>
            <w:hideMark/>
          </w:tcPr>
          <w:p w14:paraId="61671191" w14:textId="77777777" w:rsidR="00C876C9" w:rsidRPr="00C876C9" w:rsidRDefault="00C876C9" w:rsidP="00866C3E">
            <w:pPr>
              <w:spacing w:after="0" w:line="240" w:lineRule="auto"/>
              <w:jc w:val="right"/>
              <w:rPr>
                <w:rFonts w:ascii="Calibri" w:eastAsia="Times New Roman" w:hAnsi="Calibri" w:cs="Times New Roman"/>
                <w:color w:val="000000"/>
                <w:sz w:val="24"/>
                <w:szCs w:val="24"/>
                <w:rtl/>
              </w:rPr>
            </w:pPr>
            <w:r w:rsidRPr="00C876C9">
              <w:rPr>
                <w:rFonts w:ascii="Calibri" w:eastAsia="Times New Roman" w:hAnsi="Calibri" w:cs="Times New Roman"/>
                <w:color w:val="000000"/>
                <w:sz w:val="24"/>
                <w:szCs w:val="24"/>
              </w:rPr>
              <w:t>4361</w:t>
            </w:r>
          </w:p>
        </w:tc>
        <w:tc>
          <w:tcPr>
            <w:tcW w:w="922" w:type="dxa"/>
            <w:tcBorders>
              <w:top w:val="nil"/>
              <w:left w:val="single" w:sz="4" w:space="0" w:color="auto"/>
              <w:bottom w:val="single" w:sz="4" w:space="0" w:color="auto"/>
              <w:right w:val="single" w:sz="4" w:space="0" w:color="auto"/>
            </w:tcBorders>
            <w:noWrap/>
            <w:vAlign w:val="bottom"/>
            <w:hideMark/>
          </w:tcPr>
          <w:p w14:paraId="4A19CCE7" w14:textId="77777777" w:rsidR="00C876C9" w:rsidRPr="00C876C9" w:rsidRDefault="00C876C9" w:rsidP="00C876C9">
            <w:pPr>
              <w:spacing w:after="0" w:line="240" w:lineRule="auto"/>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 </w:t>
            </w:r>
          </w:p>
        </w:tc>
        <w:tc>
          <w:tcPr>
            <w:tcW w:w="764" w:type="dxa"/>
            <w:tcBorders>
              <w:top w:val="nil"/>
              <w:left w:val="single" w:sz="4" w:space="0" w:color="auto"/>
              <w:bottom w:val="single" w:sz="4" w:space="0" w:color="auto"/>
              <w:right w:val="single" w:sz="4" w:space="0" w:color="auto"/>
            </w:tcBorders>
            <w:noWrap/>
            <w:vAlign w:val="bottom"/>
            <w:hideMark/>
          </w:tcPr>
          <w:p w14:paraId="5AD6A2F7"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5429</w:t>
            </w:r>
          </w:p>
        </w:tc>
        <w:tc>
          <w:tcPr>
            <w:tcW w:w="701" w:type="dxa"/>
            <w:tcBorders>
              <w:top w:val="nil"/>
              <w:left w:val="single" w:sz="4" w:space="0" w:color="auto"/>
              <w:bottom w:val="single" w:sz="4" w:space="0" w:color="auto"/>
              <w:right w:val="single" w:sz="4" w:space="0" w:color="auto"/>
            </w:tcBorders>
            <w:noWrap/>
            <w:vAlign w:val="bottom"/>
            <w:hideMark/>
          </w:tcPr>
          <w:p w14:paraId="7736D0E4" w14:textId="77777777" w:rsidR="00C876C9" w:rsidRPr="00C876C9" w:rsidRDefault="00C876C9" w:rsidP="00C876C9">
            <w:pPr>
              <w:spacing w:after="0" w:line="240" w:lineRule="auto"/>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 </w:t>
            </w:r>
          </w:p>
        </w:tc>
        <w:tc>
          <w:tcPr>
            <w:tcW w:w="764" w:type="dxa"/>
            <w:tcBorders>
              <w:top w:val="nil"/>
              <w:left w:val="single" w:sz="4" w:space="0" w:color="auto"/>
              <w:bottom w:val="single" w:sz="4" w:space="0" w:color="auto"/>
              <w:right w:val="single" w:sz="4" w:space="0" w:color="auto"/>
            </w:tcBorders>
            <w:noWrap/>
            <w:vAlign w:val="bottom"/>
            <w:hideMark/>
          </w:tcPr>
          <w:p w14:paraId="0CF8C201"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6871</w:t>
            </w:r>
          </w:p>
        </w:tc>
        <w:tc>
          <w:tcPr>
            <w:tcW w:w="701" w:type="dxa"/>
            <w:tcBorders>
              <w:top w:val="nil"/>
              <w:left w:val="single" w:sz="4" w:space="0" w:color="auto"/>
              <w:bottom w:val="single" w:sz="4" w:space="0" w:color="auto"/>
              <w:right w:val="single" w:sz="4" w:space="0" w:color="auto"/>
            </w:tcBorders>
            <w:noWrap/>
            <w:vAlign w:val="bottom"/>
            <w:hideMark/>
          </w:tcPr>
          <w:p w14:paraId="3E37478D" w14:textId="77777777" w:rsidR="00C876C9" w:rsidRPr="00C876C9" w:rsidRDefault="00C876C9" w:rsidP="00C876C9">
            <w:pPr>
              <w:spacing w:after="0" w:line="240" w:lineRule="auto"/>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 </w:t>
            </w:r>
          </w:p>
        </w:tc>
        <w:tc>
          <w:tcPr>
            <w:tcW w:w="703" w:type="dxa"/>
            <w:tcBorders>
              <w:top w:val="nil"/>
              <w:left w:val="single" w:sz="4" w:space="0" w:color="auto"/>
              <w:bottom w:val="single" w:sz="4" w:space="0" w:color="auto"/>
              <w:right w:val="single" w:sz="4" w:space="0" w:color="auto"/>
            </w:tcBorders>
            <w:noWrap/>
            <w:vAlign w:val="bottom"/>
            <w:hideMark/>
          </w:tcPr>
          <w:p w14:paraId="69C0C5FC"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7283</w:t>
            </w:r>
          </w:p>
        </w:tc>
        <w:tc>
          <w:tcPr>
            <w:tcW w:w="701" w:type="dxa"/>
            <w:tcBorders>
              <w:top w:val="nil"/>
              <w:left w:val="single" w:sz="4" w:space="0" w:color="auto"/>
              <w:bottom w:val="single" w:sz="4" w:space="0" w:color="auto"/>
              <w:right w:val="single" w:sz="4" w:space="0" w:color="auto"/>
            </w:tcBorders>
            <w:noWrap/>
            <w:vAlign w:val="bottom"/>
            <w:hideMark/>
          </w:tcPr>
          <w:p w14:paraId="2378459E" w14:textId="77777777" w:rsidR="00C876C9" w:rsidRPr="00C876C9" w:rsidRDefault="00C876C9" w:rsidP="00C876C9">
            <w:pPr>
              <w:spacing w:after="0" w:line="240" w:lineRule="auto"/>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 </w:t>
            </w:r>
          </w:p>
        </w:tc>
        <w:tc>
          <w:tcPr>
            <w:tcW w:w="703" w:type="dxa"/>
            <w:tcBorders>
              <w:top w:val="nil"/>
              <w:left w:val="single" w:sz="4" w:space="0" w:color="auto"/>
              <w:bottom w:val="single" w:sz="4" w:space="0" w:color="auto"/>
              <w:right w:val="single" w:sz="4" w:space="0" w:color="auto"/>
            </w:tcBorders>
            <w:noWrap/>
            <w:vAlign w:val="bottom"/>
            <w:hideMark/>
          </w:tcPr>
          <w:p w14:paraId="5813758B"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7732</w:t>
            </w:r>
          </w:p>
        </w:tc>
        <w:tc>
          <w:tcPr>
            <w:tcW w:w="701" w:type="dxa"/>
            <w:tcBorders>
              <w:top w:val="nil"/>
              <w:left w:val="single" w:sz="4" w:space="0" w:color="auto"/>
              <w:bottom w:val="single" w:sz="4" w:space="0" w:color="auto"/>
              <w:right w:val="single" w:sz="4" w:space="0" w:color="auto"/>
            </w:tcBorders>
            <w:noWrap/>
            <w:vAlign w:val="bottom"/>
            <w:hideMark/>
          </w:tcPr>
          <w:p w14:paraId="7D9149B5" w14:textId="77777777" w:rsidR="00C876C9" w:rsidRPr="00C876C9" w:rsidRDefault="00C876C9" w:rsidP="00C876C9">
            <w:pPr>
              <w:spacing w:after="0" w:line="240" w:lineRule="auto"/>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 </w:t>
            </w:r>
          </w:p>
        </w:tc>
        <w:tc>
          <w:tcPr>
            <w:tcW w:w="703" w:type="dxa"/>
            <w:tcBorders>
              <w:top w:val="nil"/>
              <w:left w:val="single" w:sz="4" w:space="0" w:color="auto"/>
              <w:bottom w:val="single" w:sz="4" w:space="0" w:color="auto"/>
              <w:right w:val="single" w:sz="4" w:space="0" w:color="auto"/>
            </w:tcBorders>
            <w:noWrap/>
            <w:vAlign w:val="bottom"/>
            <w:hideMark/>
          </w:tcPr>
          <w:p w14:paraId="49C59A64"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8187</w:t>
            </w:r>
          </w:p>
        </w:tc>
        <w:tc>
          <w:tcPr>
            <w:tcW w:w="701" w:type="dxa"/>
            <w:tcBorders>
              <w:top w:val="nil"/>
              <w:left w:val="single" w:sz="4" w:space="0" w:color="auto"/>
              <w:bottom w:val="single" w:sz="4" w:space="0" w:color="auto"/>
              <w:right w:val="single" w:sz="4" w:space="0" w:color="auto"/>
            </w:tcBorders>
            <w:noWrap/>
            <w:vAlign w:val="bottom"/>
            <w:hideMark/>
          </w:tcPr>
          <w:p w14:paraId="3CC0CF10" w14:textId="77777777" w:rsidR="00C876C9" w:rsidRPr="00C876C9" w:rsidRDefault="00C876C9" w:rsidP="00C876C9">
            <w:pPr>
              <w:spacing w:after="0" w:line="240" w:lineRule="auto"/>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 </w:t>
            </w:r>
          </w:p>
        </w:tc>
      </w:tr>
      <w:tr w:rsidR="00C876C9" w:rsidRPr="00C876C9" w14:paraId="2791D40D" w14:textId="77777777" w:rsidTr="00C876C9">
        <w:trPr>
          <w:trHeight w:val="375"/>
        </w:trPr>
        <w:tc>
          <w:tcPr>
            <w:tcW w:w="2031" w:type="dxa"/>
            <w:tcBorders>
              <w:top w:val="nil"/>
              <w:left w:val="single" w:sz="4" w:space="0" w:color="auto"/>
              <w:bottom w:val="single" w:sz="4" w:space="0" w:color="auto"/>
              <w:right w:val="single" w:sz="4" w:space="0" w:color="auto"/>
            </w:tcBorders>
            <w:noWrap/>
            <w:vAlign w:val="bottom"/>
            <w:hideMark/>
          </w:tcPr>
          <w:p w14:paraId="2D5C8394" w14:textId="77777777" w:rsidR="00C876C9" w:rsidRPr="00C876C9" w:rsidRDefault="00C876C9" w:rsidP="00C876C9">
            <w:pPr>
              <w:bidi/>
              <w:spacing w:after="0" w:line="240" w:lineRule="auto"/>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tl/>
              </w:rPr>
              <w:t>كلفة الموظفين</w:t>
            </w:r>
          </w:p>
        </w:tc>
        <w:tc>
          <w:tcPr>
            <w:tcW w:w="764" w:type="dxa"/>
            <w:tcBorders>
              <w:top w:val="nil"/>
              <w:left w:val="single" w:sz="4" w:space="0" w:color="auto"/>
              <w:bottom w:val="single" w:sz="4" w:space="0" w:color="auto"/>
              <w:right w:val="single" w:sz="4" w:space="0" w:color="auto"/>
            </w:tcBorders>
            <w:noWrap/>
            <w:vAlign w:val="bottom"/>
            <w:hideMark/>
          </w:tcPr>
          <w:p w14:paraId="51308F18" w14:textId="77777777" w:rsidR="00C876C9" w:rsidRPr="00C876C9" w:rsidRDefault="00C876C9" w:rsidP="00866C3E">
            <w:pPr>
              <w:spacing w:after="0" w:line="240" w:lineRule="auto"/>
              <w:jc w:val="right"/>
              <w:rPr>
                <w:rFonts w:ascii="Calibri" w:eastAsia="Times New Roman" w:hAnsi="Calibri" w:cs="Times New Roman"/>
                <w:color w:val="000000"/>
                <w:sz w:val="24"/>
                <w:szCs w:val="24"/>
                <w:rtl/>
              </w:rPr>
            </w:pPr>
            <w:r w:rsidRPr="00C876C9">
              <w:rPr>
                <w:rFonts w:ascii="Calibri" w:eastAsia="Times New Roman" w:hAnsi="Calibri" w:cs="Times New Roman"/>
                <w:color w:val="000000"/>
                <w:sz w:val="24"/>
                <w:szCs w:val="24"/>
              </w:rPr>
              <w:t>2582</w:t>
            </w:r>
          </w:p>
        </w:tc>
        <w:tc>
          <w:tcPr>
            <w:tcW w:w="922" w:type="dxa"/>
            <w:tcBorders>
              <w:top w:val="nil"/>
              <w:left w:val="single" w:sz="4" w:space="0" w:color="auto"/>
              <w:bottom w:val="single" w:sz="4" w:space="0" w:color="auto"/>
              <w:right w:val="single" w:sz="4" w:space="0" w:color="auto"/>
            </w:tcBorders>
            <w:noWrap/>
            <w:vAlign w:val="bottom"/>
            <w:hideMark/>
          </w:tcPr>
          <w:p w14:paraId="4EEE6CC0"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59</w:t>
            </w:r>
          </w:p>
        </w:tc>
        <w:tc>
          <w:tcPr>
            <w:tcW w:w="764" w:type="dxa"/>
            <w:tcBorders>
              <w:top w:val="nil"/>
              <w:left w:val="single" w:sz="4" w:space="0" w:color="auto"/>
              <w:bottom w:val="single" w:sz="4" w:space="0" w:color="auto"/>
              <w:right w:val="single" w:sz="4" w:space="0" w:color="auto"/>
            </w:tcBorders>
            <w:noWrap/>
            <w:vAlign w:val="bottom"/>
            <w:hideMark/>
          </w:tcPr>
          <w:p w14:paraId="2BCEE435"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3510</w:t>
            </w:r>
          </w:p>
        </w:tc>
        <w:tc>
          <w:tcPr>
            <w:tcW w:w="701" w:type="dxa"/>
            <w:tcBorders>
              <w:top w:val="nil"/>
              <w:left w:val="single" w:sz="4" w:space="0" w:color="auto"/>
              <w:bottom w:val="single" w:sz="4" w:space="0" w:color="auto"/>
              <w:right w:val="single" w:sz="4" w:space="0" w:color="auto"/>
            </w:tcBorders>
            <w:noWrap/>
            <w:vAlign w:val="bottom"/>
            <w:hideMark/>
          </w:tcPr>
          <w:p w14:paraId="3B1592A8"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65</w:t>
            </w:r>
          </w:p>
        </w:tc>
        <w:tc>
          <w:tcPr>
            <w:tcW w:w="764" w:type="dxa"/>
            <w:tcBorders>
              <w:top w:val="nil"/>
              <w:left w:val="single" w:sz="4" w:space="0" w:color="auto"/>
              <w:bottom w:val="single" w:sz="4" w:space="0" w:color="auto"/>
              <w:right w:val="single" w:sz="4" w:space="0" w:color="auto"/>
            </w:tcBorders>
            <w:noWrap/>
            <w:vAlign w:val="bottom"/>
            <w:hideMark/>
          </w:tcPr>
          <w:p w14:paraId="45A802DC"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3953</w:t>
            </w:r>
          </w:p>
        </w:tc>
        <w:tc>
          <w:tcPr>
            <w:tcW w:w="701" w:type="dxa"/>
            <w:tcBorders>
              <w:top w:val="nil"/>
              <w:left w:val="single" w:sz="4" w:space="0" w:color="auto"/>
              <w:bottom w:val="single" w:sz="4" w:space="0" w:color="auto"/>
              <w:right w:val="single" w:sz="4" w:space="0" w:color="auto"/>
            </w:tcBorders>
            <w:noWrap/>
            <w:vAlign w:val="bottom"/>
            <w:hideMark/>
          </w:tcPr>
          <w:p w14:paraId="598284DE"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58</w:t>
            </w:r>
          </w:p>
        </w:tc>
        <w:tc>
          <w:tcPr>
            <w:tcW w:w="703" w:type="dxa"/>
            <w:tcBorders>
              <w:top w:val="nil"/>
              <w:left w:val="single" w:sz="4" w:space="0" w:color="auto"/>
              <w:bottom w:val="single" w:sz="4" w:space="0" w:color="auto"/>
              <w:right w:val="single" w:sz="4" w:space="0" w:color="auto"/>
            </w:tcBorders>
            <w:noWrap/>
            <w:vAlign w:val="bottom"/>
            <w:hideMark/>
          </w:tcPr>
          <w:p w14:paraId="7F301568"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4151</w:t>
            </w:r>
          </w:p>
        </w:tc>
        <w:tc>
          <w:tcPr>
            <w:tcW w:w="701" w:type="dxa"/>
            <w:tcBorders>
              <w:top w:val="nil"/>
              <w:left w:val="single" w:sz="4" w:space="0" w:color="auto"/>
              <w:bottom w:val="single" w:sz="4" w:space="0" w:color="auto"/>
              <w:right w:val="single" w:sz="4" w:space="0" w:color="auto"/>
            </w:tcBorders>
            <w:noWrap/>
            <w:vAlign w:val="bottom"/>
            <w:hideMark/>
          </w:tcPr>
          <w:p w14:paraId="72B23209"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57</w:t>
            </w:r>
          </w:p>
        </w:tc>
        <w:tc>
          <w:tcPr>
            <w:tcW w:w="703" w:type="dxa"/>
            <w:tcBorders>
              <w:top w:val="nil"/>
              <w:left w:val="single" w:sz="4" w:space="0" w:color="auto"/>
              <w:bottom w:val="single" w:sz="4" w:space="0" w:color="auto"/>
              <w:right w:val="single" w:sz="4" w:space="0" w:color="auto"/>
            </w:tcBorders>
            <w:noWrap/>
            <w:vAlign w:val="bottom"/>
            <w:hideMark/>
          </w:tcPr>
          <w:p w14:paraId="39367BD4"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4358</w:t>
            </w:r>
          </w:p>
        </w:tc>
        <w:tc>
          <w:tcPr>
            <w:tcW w:w="701" w:type="dxa"/>
            <w:tcBorders>
              <w:top w:val="nil"/>
              <w:left w:val="single" w:sz="4" w:space="0" w:color="auto"/>
              <w:bottom w:val="single" w:sz="4" w:space="0" w:color="auto"/>
              <w:right w:val="single" w:sz="4" w:space="0" w:color="auto"/>
            </w:tcBorders>
            <w:noWrap/>
            <w:vAlign w:val="bottom"/>
            <w:hideMark/>
          </w:tcPr>
          <w:p w14:paraId="7A3957E4"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56</w:t>
            </w:r>
          </w:p>
        </w:tc>
        <w:tc>
          <w:tcPr>
            <w:tcW w:w="703" w:type="dxa"/>
            <w:tcBorders>
              <w:top w:val="nil"/>
              <w:left w:val="single" w:sz="4" w:space="0" w:color="auto"/>
              <w:bottom w:val="single" w:sz="4" w:space="0" w:color="auto"/>
              <w:right w:val="single" w:sz="4" w:space="0" w:color="auto"/>
            </w:tcBorders>
            <w:noWrap/>
            <w:vAlign w:val="bottom"/>
            <w:hideMark/>
          </w:tcPr>
          <w:p w14:paraId="04EDCAE8"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4576</w:t>
            </w:r>
          </w:p>
        </w:tc>
        <w:tc>
          <w:tcPr>
            <w:tcW w:w="701" w:type="dxa"/>
            <w:tcBorders>
              <w:top w:val="nil"/>
              <w:left w:val="single" w:sz="4" w:space="0" w:color="auto"/>
              <w:bottom w:val="single" w:sz="4" w:space="0" w:color="auto"/>
              <w:right w:val="single" w:sz="4" w:space="0" w:color="auto"/>
            </w:tcBorders>
            <w:noWrap/>
            <w:vAlign w:val="bottom"/>
            <w:hideMark/>
          </w:tcPr>
          <w:p w14:paraId="318DCA2C"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56</w:t>
            </w:r>
          </w:p>
        </w:tc>
      </w:tr>
      <w:tr w:rsidR="00C876C9" w:rsidRPr="00C876C9" w14:paraId="0BA5044A" w14:textId="77777777" w:rsidTr="00C876C9">
        <w:trPr>
          <w:trHeight w:val="375"/>
        </w:trPr>
        <w:tc>
          <w:tcPr>
            <w:tcW w:w="2031" w:type="dxa"/>
            <w:tcBorders>
              <w:top w:val="nil"/>
              <w:left w:val="single" w:sz="4" w:space="0" w:color="auto"/>
              <w:bottom w:val="single" w:sz="4" w:space="0" w:color="auto"/>
              <w:right w:val="single" w:sz="4" w:space="0" w:color="auto"/>
            </w:tcBorders>
            <w:noWrap/>
            <w:vAlign w:val="bottom"/>
            <w:hideMark/>
          </w:tcPr>
          <w:p w14:paraId="2080B6F0" w14:textId="77777777" w:rsidR="00C876C9" w:rsidRPr="00C876C9" w:rsidRDefault="00C876C9" w:rsidP="00C876C9">
            <w:pPr>
              <w:bidi/>
              <w:spacing w:after="0" w:line="240" w:lineRule="auto"/>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tl/>
              </w:rPr>
              <w:t>النفقات الإستثمارية</w:t>
            </w:r>
          </w:p>
        </w:tc>
        <w:tc>
          <w:tcPr>
            <w:tcW w:w="764" w:type="dxa"/>
            <w:tcBorders>
              <w:top w:val="nil"/>
              <w:left w:val="single" w:sz="4" w:space="0" w:color="auto"/>
              <w:bottom w:val="single" w:sz="4" w:space="0" w:color="auto"/>
              <w:right w:val="single" w:sz="4" w:space="0" w:color="auto"/>
            </w:tcBorders>
            <w:noWrap/>
            <w:vAlign w:val="bottom"/>
            <w:hideMark/>
          </w:tcPr>
          <w:p w14:paraId="04F6E238" w14:textId="77777777" w:rsidR="00C876C9" w:rsidRPr="00C876C9" w:rsidRDefault="00C876C9" w:rsidP="00C876C9">
            <w:pPr>
              <w:spacing w:after="0" w:line="240" w:lineRule="auto"/>
              <w:jc w:val="right"/>
              <w:rPr>
                <w:rFonts w:ascii="Calibri" w:eastAsia="Times New Roman" w:hAnsi="Calibri" w:cs="Times New Roman"/>
                <w:color w:val="000000"/>
                <w:sz w:val="24"/>
                <w:szCs w:val="24"/>
                <w:rtl/>
              </w:rPr>
            </w:pPr>
            <w:r w:rsidRPr="00C876C9">
              <w:rPr>
                <w:rFonts w:ascii="Calibri" w:eastAsia="Times New Roman" w:hAnsi="Calibri" w:cs="Times New Roman"/>
                <w:color w:val="000000"/>
                <w:sz w:val="24"/>
                <w:szCs w:val="24"/>
              </w:rPr>
              <w:t>341</w:t>
            </w:r>
          </w:p>
        </w:tc>
        <w:tc>
          <w:tcPr>
            <w:tcW w:w="922" w:type="dxa"/>
            <w:tcBorders>
              <w:top w:val="nil"/>
              <w:left w:val="single" w:sz="4" w:space="0" w:color="auto"/>
              <w:bottom w:val="single" w:sz="4" w:space="0" w:color="auto"/>
              <w:right w:val="single" w:sz="4" w:space="0" w:color="auto"/>
            </w:tcBorders>
            <w:noWrap/>
            <w:vAlign w:val="bottom"/>
            <w:hideMark/>
          </w:tcPr>
          <w:p w14:paraId="0E512755"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13</w:t>
            </w:r>
          </w:p>
        </w:tc>
        <w:tc>
          <w:tcPr>
            <w:tcW w:w="764" w:type="dxa"/>
            <w:tcBorders>
              <w:top w:val="nil"/>
              <w:left w:val="single" w:sz="4" w:space="0" w:color="auto"/>
              <w:bottom w:val="single" w:sz="4" w:space="0" w:color="auto"/>
              <w:right w:val="single" w:sz="4" w:space="0" w:color="auto"/>
            </w:tcBorders>
            <w:noWrap/>
            <w:vAlign w:val="bottom"/>
            <w:hideMark/>
          </w:tcPr>
          <w:p w14:paraId="5A5EA911"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523</w:t>
            </w:r>
          </w:p>
        </w:tc>
        <w:tc>
          <w:tcPr>
            <w:tcW w:w="701" w:type="dxa"/>
            <w:tcBorders>
              <w:top w:val="nil"/>
              <w:left w:val="single" w:sz="4" w:space="0" w:color="auto"/>
              <w:bottom w:val="single" w:sz="4" w:space="0" w:color="auto"/>
              <w:right w:val="single" w:sz="4" w:space="0" w:color="auto"/>
            </w:tcBorders>
            <w:noWrap/>
            <w:vAlign w:val="bottom"/>
            <w:hideMark/>
          </w:tcPr>
          <w:p w14:paraId="7C88CC0F"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9</w:t>
            </w:r>
          </w:p>
        </w:tc>
        <w:tc>
          <w:tcPr>
            <w:tcW w:w="764" w:type="dxa"/>
            <w:tcBorders>
              <w:top w:val="nil"/>
              <w:left w:val="single" w:sz="4" w:space="0" w:color="auto"/>
              <w:bottom w:val="single" w:sz="4" w:space="0" w:color="auto"/>
              <w:right w:val="single" w:sz="4" w:space="0" w:color="auto"/>
            </w:tcBorders>
            <w:noWrap/>
            <w:vAlign w:val="bottom"/>
            <w:hideMark/>
          </w:tcPr>
          <w:p w14:paraId="27096851"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745</w:t>
            </w:r>
          </w:p>
        </w:tc>
        <w:tc>
          <w:tcPr>
            <w:tcW w:w="701" w:type="dxa"/>
            <w:tcBorders>
              <w:top w:val="nil"/>
              <w:left w:val="single" w:sz="4" w:space="0" w:color="auto"/>
              <w:bottom w:val="single" w:sz="4" w:space="0" w:color="auto"/>
              <w:right w:val="single" w:sz="4" w:space="0" w:color="auto"/>
            </w:tcBorders>
            <w:noWrap/>
            <w:vAlign w:val="bottom"/>
            <w:hideMark/>
          </w:tcPr>
          <w:p w14:paraId="2EF3B17C"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11</w:t>
            </w:r>
          </w:p>
        </w:tc>
        <w:tc>
          <w:tcPr>
            <w:tcW w:w="703" w:type="dxa"/>
            <w:tcBorders>
              <w:top w:val="nil"/>
              <w:left w:val="single" w:sz="4" w:space="0" w:color="auto"/>
              <w:bottom w:val="single" w:sz="4" w:space="0" w:color="auto"/>
              <w:right w:val="single" w:sz="4" w:space="0" w:color="auto"/>
            </w:tcBorders>
            <w:noWrap/>
            <w:vAlign w:val="bottom"/>
            <w:hideMark/>
          </w:tcPr>
          <w:p w14:paraId="55ECB584"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83</w:t>
            </w:r>
          </w:p>
        </w:tc>
        <w:tc>
          <w:tcPr>
            <w:tcW w:w="701" w:type="dxa"/>
            <w:tcBorders>
              <w:top w:val="nil"/>
              <w:left w:val="single" w:sz="4" w:space="0" w:color="auto"/>
              <w:bottom w:val="single" w:sz="4" w:space="0" w:color="auto"/>
              <w:right w:val="single" w:sz="4" w:space="0" w:color="auto"/>
            </w:tcBorders>
            <w:noWrap/>
            <w:vAlign w:val="bottom"/>
            <w:hideMark/>
          </w:tcPr>
          <w:p w14:paraId="74FC7020"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11</w:t>
            </w:r>
          </w:p>
        </w:tc>
        <w:tc>
          <w:tcPr>
            <w:tcW w:w="703" w:type="dxa"/>
            <w:tcBorders>
              <w:top w:val="nil"/>
              <w:left w:val="single" w:sz="4" w:space="0" w:color="auto"/>
              <w:bottom w:val="single" w:sz="4" w:space="0" w:color="auto"/>
              <w:right w:val="single" w:sz="4" w:space="0" w:color="auto"/>
            </w:tcBorders>
            <w:noWrap/>
            <w:vAlign w:val="bottom"/>
            <w:hideMark/>
          </w:tcPr>
          <w:p w14:paraId="13668067"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92</w:t>
            </w:r>
          </w:p>
        </w:tc>
        <w:tc>
          <w:tcPr>
            <w:tcW w:w="701" w:type="dxa"/>
            <w:tcBorders>
              <w:top w:val="nil"/>
              <w:left w:val="single" w:sz="4" w:space="0" w:color="auto"/>
              <w:bottom w:val="single" w:sz="4" w:space="0" w:color="auto"/>
              <w:right w:val="single" w:sz="4" w:space="0" w:color="auto"/>
            </w:tcBorders>
            <w:noWrap/>
            <w:vAlign w:val="bottom"/>
            <w:hideMark/>
          </w:tcPr>
          <w:p w14:paraId="5E589DCC"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12</w:t>
            </w:r>
          </w:p>
        </w:tc>
        <w:tc>
          <w:tcPr>
            <w:tcW w:w="703" w:type="dxa"/>
            <w:tcBorders>
              <w:top w:val="nil"/>
              <w:left w:val="single" w:sz="4" w:space="0" w:color="auto"/>
              <w:bottom w:val="single" w:sz="4" w:space="0" w:color="auto"/>
              <w:right w:val="single" w:sz="4" w:space="0" w:color="auto"/>
            </w:tcBorders>
            <w:noWrap/>
            <w:vAlign w:val="bottom"/>
            <w:hideMark/>
          </w:tcPr>
          <w:p w14:paraId="08AA85A9"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999</w:t>
            </w:r>
          </w:p>
        </w:tc>
        <w:tc>
          <w:tcPr>
            <w:tcW w:w="701" w:type="dxa"/>
            <w:tcBorders>
              <w:top w:val="nil"/>
              <w:left w:val="single" w:sz="4" w:space="0" w:color="auto"/>
              <w:bottom w:val="single" w:sz="4" w:space="0" w:color="auto"/>
              <w:right w:val="single" w:sz="4" w:space="0" w:color="auto"/>
            </w:tcBorders>
            <w:noWrap/>
            <w:vAlign w:val="bottom"/>
            <w:hideMark/>
          </w:tcPr>
          <w:p w14:paraId="10D6631D"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12</w:t>
            </w:r>
          </w:p>
        </w:tc>
      </w:tr>
      <w:tr w:rsidR="00C876C9" w:rsidRPr="00C876C9" w14:paraId="71E58F6F" w14:textId="77777777" w:rsidTr="00C876C9">
        <w:trPr>
          <w:trHeight w:val="375"/>
        </w:trPr>
        <w:tc>
          <w:tcPr>
            <w:tcW w:w="2031" w:type="dxa"/>
            <w:tcBorders>
              <w:top w:val="nil"/>
              <w:left w:val="single" w:sz="4" w:space="0" w:color="auto"/>
              <w:bottom w:val="single" w:sz="4" w:space="0" w:color="auto"/>
              <w:right w:val="single" w:sz="4" w:space="0" w:color="auto"/>
            </w:tcBorders>
            <w:noWrap/>
            <w:vAlign w:val="bottom"/>
            <w:hideMark/>
          </w:tcPr>
          <w:p w14:paraId="54A23990" w14:textId="77777777" w:rsidR="00C876C9" w:rsidRPr="00C876C9" w:rsidRDefault="00C876C9" w:rsidP="00C876C9">
            <w:pPr>
              <w:bidi/>
              <w:spacing w:after="0" w:line="240" w:lineRule="auto"/>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tl/>
              </w:rPr>
              <w:t>خدمة الدين العام</w:t>
            </w:r>
          </w:p>
        </w:tc>
        <w:tc>
          <w:tcPr>
            <w:tcW w:w="764" w:type="dxa"/>
            <w:tcBorders>
              <w:top w:val="nil"/>
              <w:left w:val="single" w:sz="4" w:space="0" w:color="auto"/>
              <w:bottom w:val="single" w:sz="4" w:space="0" w:color="auto"/>
              <w:right w:val="single" w:sz="4" w:space="0" w:color="auto"/>
            </w:tcBorders>
            <w:noWrap/>
            <w:vAlign w:val="bottom"/>
            <w:hideMark/>
          </w:tcPr>
          <w:p w14:paraId="6E87295E" w14:textId="77777777" w:rsidR="00C876C9" w:rsidRPr="00C876C9" w:rsidRDefault="00C876C9" w:rsidP="00C876C9">
            <w:pPr>
              <w:spacing w:after="0" w:line="240" w:lineRule="auto"/>
              <w:jc w:val="right"/>
              <w:rPr>
                <w:rFonts w:ascii="Calibri" w:eastAsia="Times New Roman" w:hAnsi="Calibri" w:cs="Times New Roman"/>
                <w:color w:val="000000"/>
                <w:sz w:val="24"/>
                <w:szCs w:val="24"/>
                <w:rtl/>
              </w:rPr>
            </w:pPr>
            <w:r w:rsidRPr="00C876C9">
              <w:rPr>
                <w:rFonts w:ascii="Calibri" w:eastAsia="Times New Roman" w:hAnsi="Calibri" w:cs="Times New Roman"/>
                <w:color w:val="000000"/>
                <w:sz w:val="24"/>
                <w:szCs w:val="24"/>
              </w:rPr>
              <w:t>304</w:t>
            </w:r>
          </w:p>
        </w:tc>
        <w:tc>
          <w:tcPr>
            <w:tcW w:w="922" w:type="dxa"/>
            <w:tcBorders>
              <w:top w:val="nil"/>
              <w:left w:val="single" w:sz="4" w:space="0" w:color="auto"/>
              <w:bottom w:val="single" w:sz="4" w:space="0" w:color="auto"/>
              <w:right w:val="single" w:sz="4" w:space="0" w:color="auto"/>
            </w:tcBorders>
            <w:noWrap/>
            <w:vAlign w:val="bottom"/>
            <w:hideMark/>
          </w:tcPr>
          <w:p w14:paraId="524AF61B"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11</w:t>
            </w:r>
          </w:p>
        </w:tc>
        <w:tc>
          <w:tcPr>
            <w:tcW w:w="764" w:type="dxa"/>
            <w:tcBorders>
              <w:top w:val="nil"/>
              <w:left w:val="single" w:sz="4" w:space="0" w:color="auto"/>
              <w:bottom w:val="single" w:sz="4" w:space="0" w:color="auto"/>
              <w:right w:val="single" w:sz="4" w:space="0" w:color="auto"/>
            </w:tcBorders>
            <w:noWrap/>
            <w:vAlign w:val="bottom"/>
            <w:hideMark/>
          </w:tcPr>
          <w:p w14:paraId="20D0467F"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364</w:t>
            </w:r>
          </w:p>
        </w:tc>
        <w:tc>
          <w:tcPr>
            <w:tcW w:w="701" w:type="dxa"/>
            <w:tcBorders>
              <w:top w:val="nil"/>
              <w:left w:val="single" w:sz="4" w:space="0" w:color="auto"/>
              <w:bottom w:val="single" w:sz="4" w:space="0" w:color="auto"/>
              <w:right w:val="single" w:sz="4" w:space="0" w:color="auto"/>
            </w:tcBorders>
            <w:noWrap/>
            <w:vAlign w:val="bottom"/>
            <w:hideMark/>
          </w:tcPr>
          <w:p w14:paraId="712D440F"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7</w:t>
            </w:r>
          </w:p>
        </w:tc>
        <w:tc>
          <w:tcPr>
            <w:tcW w:w="764" w:type="dxa"/>
            <w:tcBorders>
              <w:top w:val="nil"/>
              <w:left w:val="single" w:sz="4" w:space="0" w:color="auto"/>
              <w:bottom w:val="single" w:sz="4" w:space="0" w:color="auto"/>
              <w:right w:val="single" w:sz="4" w:space="0" w:color="auto"/>
            </w:tcBorders>
            <w:noWrap/>
            <w:vAlign w:val="bottom"/>
            <w:hideMark/>
          </w:tcPr>
          <w:p w14:paraId="7098F00D"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173</w:t>
            </w:r>
          </w:p>
        </w:tc>
        <w:tc>
          <w:tcPr>
            <w:tcW w:w="701" w:type="dxa"/>
            <w:tcBorders>
              <w:top w:val="nil"/>
              <w:left w:val="single" w:sz="4" w:space="0" w:color="auto"/>
              <w:bottom w:val="single" w:sz="4" w:space="0" w:color="auto"/>
              <w:right w:val="single" w:sz="4" w:space="0" w:color="auto"/>
            </w:tcBorders>
            <w:noWrap/>
            <w:vAlign w:val="bottom"/>
            <w:hideMark/>
          </w:tcPr>
          <w:p w14:paraId="363E25A0"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2.5</w:t>
            </w:r>
          </w:p>
        </w:tc>
        <w:tc>
          <w:tcPr>
            <w:tcW w:w="703" w:type="dxa"/>
            <w:tcBorders>
              <w:top w:val="nil"/>
              <w:left w:val="single" w:sz="4" w:space="0" w:color="auto"/>
              <w:bottom w:val="single" w:sz="4" w:space="0" w:color="auto"/>
              <w:right w:val="single" w:sz="4" w:space="0" w:color="auto"/>
            </w:tcBorders>
            <w:noWrap/>
            <w:vAlign w:val="bottom"/>
            <w:hideMark/>
          </w:tcPr>
          <w:p w14:paraId="09362B31"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13</w:t>
            </w:r>
          </w:p>
        </w:tc>
        <w:tc>
          <w:tcPr>
            <w:tcW w:w="701" w:type="dxa"/>
            <w:tcBorders>
              <w:top w:val="nil"/>
              <w:left w:val="single" w:sz="4" w:space="0" w:color="auto"/>
              <w:bottom w:val="single" w:sz="4" w:space="0" w:color="auto"/>
              <w:right w:val="single" w:sz="4" w:space="0" w:color="auto"/>
            </w:tcBorders>
            <w:noWrap/>
            <w:vAlign w:val="bottom"/>
            <w:hideMark/>
          </w:tcPr>
          <w:p w14:paraId="7E23B5E3"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2</w:t>
            </w:r>
          </w:p>
        </w:tc>
        <w:tc>
          <w:tcPr>
            <w:tcW w:w="703" w:type="dxa"/>
            <w:tcBorders>
              <w:top w:val="nil"/>
              <w:left w:val="single" w:sz="4" w:space="0" w:color="auto"/>
              <w:bottom w:val="single" w:sz="4" w:space="0" w:color="auto"/>
              <w:right w:val="single" w:sz="4" w:space="0" w:color="auto"/>
            </w:tcBorders>
            <w:noWrap/>
            <w:vAlign w:val="bottom"/>
            <w:hideMark/>
          </w:tcPr>
          <w:p w14:paraId="3B05C36C"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12</w:t>
            </w:r>
          </w:p>
        </w:tc>
        <w:tc>
          <w:tcPr>
            <w:tcW w:w="701" w:type="dxa"/>
            <w:tcBorders>
              <w:top w:val="nil"/>
              <w:left w:val="single" w:sz="4" w:space="0" w:color="auto"/>
              <w:bottom w:val="single" w:sz="4" w:space="0" w:color="auto"/>
              <w:right w:val="single" w:sz="4" w:space="0" w:color="auto"/>
            </w:tcBorders>
            <w:noWrap/>
            <w:vAlign w:val="bottom"/>
            <w:hideMark/>
          </w:tcPr>
          <w:p w14:paraId="6726C6BF"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1.5</w:t>
            </w:r>
          </w:p>
        </w:tc>
        <w:tc>
          <w:tcPr>
            <w:tcW w:w="703" w:type="dxa"/>
            <w:tcBorders>
              <w:top w:val="nil"/>
              <w:left w:val="single" w:sz="4" w:space="0" w:color="auto"/>
              <w:bottom w:val="single" w:sz="4" w:space="0" w:color="auto"/>
              <w:right w:val="single" w:sz="4" w:space="0" w:color="auto"/>
            </w:tcBorders>
            <w:noWrap/>
            <w:vAlign w:val="bottom"/>
            <w:hideMark/>
          </w:tcPr>
          <w:p w14:paraId="55A37649"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116</w:t>
            </w:r>
          </w:p>
        </w:tc>
        <w:tc>
          <w:tcPr>
            <w:tcW w:w="701" w:type="dxa"/>
            <w:tcBorders>
              <w:top w:val="nil"/>
              <w:left w:val="single" w:sz="4" w:space="0" w:color="auto"/>
              <w:bottom w:val="single" w:sz="4" w:space="0" w:color="auto"/>
              <w:right w:val="single" w:sz="4" w:space="0" w:color="auto"/>
            </w:tcBorders>
            <w:noWrap/>
            <w:vAlign w:val="bottom"/>
            <w:hideMark/>
          </w:tcPr>
          <w:p w14:paraId="7AFDB3BF"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1.4</w:t>
            </w:r>
          </w:p>
        </w:tc>
      </w:tr>
      <w:tr w:rsidR="00C876C9" w:rsidRPr="00C876C9" w14:paraId="106901FD" w14:textId="77777777" w:rsidTr="00C876C9">
        <w:trPr>
          <w:trHeight w:val="375"/>
        </w:trPr>
        <w:tc>
          <w:tcPr>
            <w:tcW w:w="2031" w:type="dxa"/>
            <w:tcBorders>
              <w:top w:val="nil"/>
              <w:left w:val="single" w:sz="4" w:space="0" w:color="auto"/>
              <w:bottom w:val="single" w:sz="4" w:space="0" w:color="auto"/>
              <w:right w:val="single" w:sz="4" w:space="0" w:color="auto"/>
            </w:tcBorders>
            <w:noWrap/>
            <w:vAlign w:val="bottom"/>
            <w:hideMark/>
          </w:tcPr>
          <w:p w14:paraId="0EBC88A4" w14:textId="77777777" w:rsidR="00C876C9" w:rsidRPr="008C5C72" w:rsidRDefault="00C876C9" w:rsidP="00C876C9">
            <w:pPr>
              <w:bidi/>
              <w:spacing w:after="0" w:line="240" w:lineRule="auto"/>
              <w:rPr>
                <w:rFonts w:ascii="Calibri" w:eastAsia="Times New Roman" w:hAnsi="Calibri" w:cs="Times New Roman"/>
                <w:b/>
                <w:bCs/>
                <w:color w:val="000000"/>
                <w:sz w:val="24"/>
                <w:szCs w:val="24"/>
              </w:rPr>
            </w:pPr>
            <w:r w:rsidRPr="008C5C72">
              <w:rPr>
                <w:rFonts w:ascii="Calibri" w:eastAsia="Times New Roman" w:hAnsi="Calibri" w:cs="Times New Roman"/>
                <w:b/>
                <w:bCs/>
                <w:color w:val="000000"/>
                <w:sz w:val="24"/>
                <w:szCs w:val="24"/>
                <w:rtl/>
              </w:rPr>
              <w:t>الوفر/العجز</w:t>
            </w:r>
          </w:p>
        </w:tc>
        <w:tc>
          <w:tcPr>
            <w:tcW w:w="764" w:type="dxa"/>
            <w:tcBorders>
              <w:top w:val="nil"/>
              <w:left w:val="single" w:sz="4" w:space="0" w:color="auto"/>
              <w:bottom w:val="single" w:sz="4" w:space="0" w:color="auto"/>
              <w:right w:val="single" w:sz="4" w:space="0" w:color="auto"/>
            </w:tcBorders>
            <w:noWrap/>
            <w:vAlign w:val="bottom"/>
            <w:hideMark/>
          </w:tcPr>
          <w:p w14:paraId="71D2C408" w14:textId="77777777" w:rsidR="00C876C9" w:rsidRPr="00C876C9" w:rsidRDefault="00C876C9" w:rsidP="00866C3E">
            <w:pPr>
              <w:spacing w:after="0" w:line="240" w:lineRule="auto"/>
              <w:jc w:val="right"/>
              <w:rPr>
                <w:rFonts w:ascii="Calibri" w:eastAsia="Times New Roman" w:hAnsi="Calibri" w:cs="Times New Roman"/>
                <w:color w:val="000000"/>
                <w:sz w:val="24"/>
                <w:szCs w:val="24"/>
                <w:rtl/>
              </w:rPr>
            </w:pPr>
            <w:r w:rsidRPr="00C876C9">
              <w:rPr>
                <w:rFonts w:ascii="Calibri" w:eastAsia="Times New Roman" w:hAnsi="Calibri" w:cs="Times New Roman"/>
                <w:color w:val="000000"/>
                <w:sz w:val="24"/>
                <w:szCs w:val="24"/>
              </w:rPr>
              <w:t>1155</w:t>
            </w:r>
          </w:p>
        </w:tc>
        <w:tc>
          <w:tcPr>
            <w:tcW w:w="922" w:type="dxa"/>
            <w:tcBorders>
              <w:top w:val="nil"/>
              <w:left w:val="single" w:sz="4" w:space="0" w:color="auto"/>
              <w:bottom w:val="single" w:sz="4" w:space="0" w:color="auto"/>
              <w:right w:val="single" w:sz="4" w:space="0" w:color="auto"/>
            </w:tcBorders>
            <w:noWrap/>
            <w:vAlign w:val="bottom"/>
            <w:hideMark/>
          </w:tcPr>
          <w:p w14:paraId="3DB7598C"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21</w:t>
            </w:r>
          </w:p>
        </w:tc>
        <w:tc>
          <w:tcPr>
            <w:tcW w:w="764" w:type="dxa"/>
            <w:tcBorders>
              <w:top w:val="nil"/>
              <w:left w:val="single" w:sz="4" w:space="0" w:color="auto"/>
              <w:bottom w:val="single" w:sz="4" w:space="0" w:color="auto"/>
              <w:right w:val="single" w:sz="4" w:space="0" w:color="auto"/>
            </w:tcBorders>
            <w:noWrap/>
            <w:vAlign w:val="bottom"/>
            <w:hideMark/>
          </w:tcPr>
          <w:p w14:paraId="3DF32667"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941</w:t>
            </w:r>
          </w:p>
        </w:tc>
        <w:tc>
          <w:tcPr>
            <w:tcW w:w="701" w:type="dxa"/>
            <w:tcBorders>
              <w:top w:val="nil"/>
              <w:left w:val="single" w:sz="4" w:space="0" w:color="auto"/>
              <w:bottom w:val="single" w:sz="4" w:space="0" w:color="auto"/>
              <w:right w:val="single" w:sz="4" w:space="0" w:color="auto"/>
            </w:tcBorders>
            <w:noWrap/>
            <w:vAlign w:val="bottom"/>
            <w:hideMark/>
          </w:tcPr>
          <w:p w14:paraId="34150F64"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15</w:t>
            </w:r>
          </w:p>
        </w:tc>
        <w:tc>
          <w:tcPr>
            <w:tcW w:w="764" w:type="dxa"/>
            <w:tcBorders>
              <w:top w:val="nil"/>
              <w:left w:val="single" w:sz="4" w:space="0" w:color="auto"/>
              <w:bottom w:val="single" w:sz="4" w:space="0" w:color="auto"/>
              <w:right w:val="single" w:sz="4" w:space="0" w:color="auto"/>
            </w:tcBorders>
            <w:noWrap/>
            <w:vAlign w:val="bottom"/>
            <w:hideMark/>
          </w:tcPr>
          <w:p w14:paraId="26FC3E3B" w14:textId="77777777" w:rsidR="00C876C9" w:rsidRPr="00C876C9" w:rsidRDefault="00C876C9" w:rsidP="00C876C9">
            <w:pPr>
              <w:spacing w:after="0" w:line="240" w:lineRule="auto"/>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 </w:t>
            </w:r>
          </w:p>
        </w:tc>
        <w:tc>
          <w:tcPr>
            <w:tcW w:w="701" w:type="dxa"/>
            <w:tcBorders>
              <w:top w:val="nil"/>
              <w:left w:val="single" w:sz="4" w:space="0" w:color="auto"/>
              <w:bottom w:val="single" w:sz="4" w:space="0" w:color="auto"/>
              <w:right w:val="single" w:sz="4" w:space="0" w:color="auto"/>
            </w:tcBorders>
            <w:noWrap/>
            <w:vAlign w:val="bottom"/>
            <w:hideMark/>
          </w:tcPr>
          <w:p w14:paraId="35EC1B2D" w14:textId="77777777" w:rsidR="00C876C9" w:rsidRPr="00C876C9" w:rsidRDefault="00C876C9" w:rsidP="00C876C9">
            <w:pPr>
              <w:spacing w:after="0" w:line="240" w:lineRule="auto"/>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 </w:t>
            </w:r>
          </w:p>
        </w:tc>
        <w:tc>
          <w:tcPr>
            <w:tcW w:w="703" w:type="dxa"/>
            <w:tcBorders>
              <w:top w:val="nil"/>
              <w:left w:val="single" w:sz="4" w:space="0" w:color="auto"/>
              <w:bottom w:val="single" w:sz="4" w:space="0" w:color="auto"/>
              <w:right w:val="single" w:sz="4" w:space="0" w:color="auto"/>
            </w:tcBorders>
            <w:noWrap/>
            <w:vAlign w:val="bottom"/>
            <w:hideMark/>
          </w:tcPr>
          <w:p w14:paraId="3DDB5A99"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235</w:t>
            </w:r>
          </w:p>
        </w:tc>
        <w:tc>
          <w:tcPr>
            <w:tcW w:w="701" w:type="dxa"/>
            <w:tcBorders>
              <w:top w:val="nil"/>
              <w:left w:val="single" w:sz="4" w:space="0" w:color="auto"/>
              <w:bottom w:val="single" w:sz="4" w:space="0" w:color="auto"/>
              <w:right w:val="single" w:sz="4" w:space="0" w:color="auto"/>
            </w:tcBorders>
            <w:noWrap/>
            <w:vAlign w:val="bottom"/>
            <w:hideMark/>
          </w:tcPr>
          <w:p w14:paraId="232F83D7"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3</w:t>
            </w:r>
          </w:p>
        </w:tc>
        <w:tc>
          <w:tcPr>
            <w:tcW w:w="703" w:type="dxa"/>
            <w:tcBorders>
              <w:top w:val="nil"/>
              <w:left w:val="single" w:sz="4" w:space="0" w:color="auto"/>
              <w:bottom w:val="single" w:sz="4" w:space="0" w:color="auto"/>
              <w:right w:val="single" w:sz="4" w:space="0" w:color="auto"/>
            </w:tcBorders>
            <w:noWrap/>
            <w:vAlign w:val="bottom"/>
            <w:hideMark/>
          </w:tcPr>
          <w:p w14:paraId="70E183ED"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450</w:t>
            </w:r>
          </w:p>
        </w:tc>
        <w:tc>
          <w:tcPr>
            <w:tcW w:w="701" w:type="dxa"/>
            <w:tcBorders>
              <w:top w:val="nil"/>
              <w:left w:val="single" w:sz="4" w:space="0" w:color="auto"/>
              <w:bottom w:val="single" w:sz="4" w:space="0" w:color="auto"/>
              <w:right w:val="single" w:sz="4" w:space="0" w:color="auto"/>
            </w:tcBorders>
            <w:noWrap/>
            <w:vAlign w:val="bottom"/>
            <w:hideMark/>
          </w:tcPr>
          <w:p w14:paraId="168F1D7A"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5</w:t>
            </w:r>
          </w:p>
        </w:tc>
        <w:tc>
          <w:tcPr>
            <w:tcW w:w="703" w:type="dxa"/>
            <w:tcBorders>
              <w:top w:val="nil"/>
              <w:left w:val="single" w:sz="4" w:space="0" w:color="auto"/>
              <w:bottom w:val="single" w:sz="4" w:space="0" w:color="auto"/>
              <w:right w:val="single" w:sz="4" w:space="0" w:color="auto"/>
            </w:tcBorders>
            <w:noWrap/>
            <w:vAlign w:val="bottom"/>
            <w:hideMark/>
          </w:tcPr>
          <w:p w14:paraId="0B6A86E6"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630</w:t>
            </w:r>
          </w:p>
        </w:tc>
        <w:tc>
          <w:tcPr>
            <w:tcW w:w="701" w:type="dxa"/>
            <w:tcBorders>
              <w:top w:val="nil"/>
              <w:left w:val="single" w:sz="4" w:space="0" w:color="auto"/>
              <w:bottom w:val="single" w:sz="4" w:space="0" w:color="auto"/>
              <w:right w:val="single" w:sz="4" w:space="0" w:color="auto"/>
            </w:tcBorders>
            <w:noWrap/>
            <w:vAlign w:val="bottom"/>
            <w:hideMark/>
          </w:tcPr>
          <w:p w14:paraId="10C5D42A"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7</w:t>
            </w:r>
          </w:p>
        </w:tc>
      </w:tr>
      <w:tr w:rsidR="00C876C9" w:rsidRPr="00C876C9" w14:paraId="5F9837A2" w14:textId="77777777" w:rsidTr="00C876C9">
        <w:trPr>
          <w:trHeight w:val="375"/>
        </w:trPr>
        <w:tc>
          <w:tcPr>
            <w:tcW w:w="2031" w:type="dxa"/>
            <w:tcBorders>
              <w:top w:val="nil"/>
              <w:left w:val="single" w:sz="4" w:space="0" w:color="auto"/>
              <w:bottom w:val="single" w:sz="4" w:space="0" w:color="auto"/>
              <w:right w:val="single" w:sz="4" w:space="0" w:color="auto"/>
            </w:tcBorders>
            <w:noWrap/>
            <w:vAlign w:val="bottom"/>
            <w:hideMark/>
          </w:tcPr>
          <w:p w14:paraId="277DF944" w14:textId="77777777" w:rsidR="00C876C9" w:rsidRPr="00C876C9" w:rsidRDefault="00C876C9" w:rsidP="00C876C9">
            <w:pPr>
              <w:bidi/>
              <w:spacing w:after="0" w:line="240" w:lineRule="auto"/>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tl/>
              </w:rPr>
              <w:t>الزيادة في الواردات</w:t>
            </w:r>
          </w:p>
        </w:tc>
        <w:tc>
          <w:tcPr>
            <w:tcW w:w="764" w:type="dxa"/>
            <w:tcBorders>
              <w:top w:val="nil"/>
              <w:left w:val="single" w:sz="4" w:space="0" w:color="auto"/>
              <w:bottom w:val="single" w:sz="4" w:space="0" w:color="auto"/>
              <w:right w:val="single" w:sz="4" w:space="0" w:color="auto"/>
            </w:tcBorders>
            <w:noWrap/>
            <w:vAlign w:val="bottom"/>
            <w:hideMark/>
          </w:tcPr>
          <w:p w14:paraId="26D05B94" w14:textId="77777777" w:rsidR="00C876C9" w:rsidRPr="00C876C9" w:rsidRDefault="00C876C9" w:rsidP="00C876C9">
            <w:pPr>
              <w:spacing w:after="0" w:line="240" w:lineRule="auto"/>
              <w:rPr>
                <w:rFonts w:ascii="Calibri" w:eastAsia="Times New Roman" w:hAnsi="Calibri" w:cs="Times New Roman"/>
                <w:color w:val="000000"/>
                <w:sz w:val="24"/>
                <w:szCs w:val="24"/>
                <w:rtl/>
              </w:rPr>
            </w:pPr>
            <w:r w:rsidRPr="00C876C9">
              <w:rPr>
                <w:rFonts w:ascii="Calibri" w:eastAsia="Times New Roman" w:hAnsi="Calibri" w:cs="Times New Roman"/>
                <w:color w:val="000000"/>
                <w:sz w:val="24"/>
                <w:szCs w:val="24"/>
              </w:rPr>
              <w:t> </w:t>
            </w:r>
          </w:p>
        </w:tc>
        <w:tc>
          <w:tcPr>
            <w:tcW w:w="922" w:type="dxa"/>
            <w:tcBorders>
              <w:top w:val="nil"/>
              <w:left w:val="single" w:sz="4" w:space="0" w:color="auto"/>
              <w:bottom w:val="single" w:sz="4" w:space="0" w:color="auto"/>
              <w:right w:val="single" w:sz="4" w:space="0" w:color="auto"/>
            </w:tcBorders>
            <w:noWrap/>
            <w:vAlign w:val="bottom"/>
            <w:hideMark/>
          </w:tcPr>
          <w:p w14:paraId="2256073F" w14:textId="77777777" w:rsidR="00C876C9" w:rsidRPr="00C876C9" w:rsidRDefault="00C876C9" w:rsidP="00C876C9">
            <w:pPr>
              <w:spacing w:after="0" w:line="240" w:lineRule="auto"/>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 </w:t>
            </w:r>
          </w:p>
        </w:tc>
        <w:tc>
          <w:tcPr>
            <w:tcW w:w="764" w:type="dxa"/>
            <w:tcBorders>
              <w:top w:val="nil"/>
              <w:left w:val="single" w:sz="4" w:space="0" w:color="auto"/>
              <w:bottom w:val="single" w:sz="4" w:space="0" w:color="auto"/>
              <w:right w:val="single" w:sz="4" w:space="0" w:color="auto"/>
            </w:tcBorders>
            <w:noWrap/>
            <w:vAlign w:val="bottom"/>
            <w:hideMark/>
          </w:tcPr>
          <w:p w14:paraId="5960C47E"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854</w:t>
            </w:r>
          </w:p>
        </w:tc>
        <w:tc>
          <w:tcPr>
            <w:tcW w:w="701" w:type="dxa"/>
            <w:tcBorders>
              <w:top w:val="nil"/>
              <w:left w:val="single" w:sz="4" w:space="0" w:color="auto"/>
              <w:bottom w:val="single" w:sz="4" w:space="0" w:color="auto"/>
              <w:right w:val="single" w:sz="4" w:space="0" w:color="auto"/>
            </w:tcBorders>
            <w:noWrap/>
            <w:vAlign w:val="bottom"/>
            <w:hideMark/>
          </w:tcPr>
          <w:p w14:paraId="705EEFFC"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15</w:t>
            </w:r>
          </w:p>
        </w:tc>
        <w:tc>
          <w:tcPr>
            <w:tcW w:w="764" w:type="dxa"/>
            <w:tcBorders>
              <w:top w:val="nil"/>
              <w:left w:val="single" w:sz="4" w:space="0" w:color="auto"/>
              <w:bottom w:val="single" w:sz="4" w:space="0" w:color="auto"/>
              <w:right w:val="single" w:sz="4" w:space="0" w:color="auto"/>
            </w:tcBorders>
            <w:noWrap/>
            <w:vAlign w:val="bottom"/>
            <w:hideMark/>
          </w:tcPr>
          <w:p w14:paraId="05298B10"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501</w:t>
            </w:r>
          </w:p>
        </w:tc>
        <w:tc>
          <w:tcPr>
            <w:tcW w:w="701" w:type="dxa"/>
            <w:tcBorders>
              <w:top w:val="nil"/>
              <w:left w:val="single" w:sz="4" w:space="0" w:color="auto"/>
              <w:bottom w:val="single" w:sz="4" w:space="0" w:color="auto"/>
              <w:right w:val="single" w:sz="4" w:space="0" w:color="auto"/>
            </w:tcBorders>
            <w:noWrap/>
            <w:vAlign w:val="bottom"/>
            <w:hideMark/>
          </w:tcPr>
          <w:p w14:paraId="25C8A9AC"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8</w:t>
            </w:r>
          </w:p>
        </w:tc>
        <w:tc>
          <w:tcPr>
            <w:tcW w:w="703" w:type="dxa"/>
            <w:tcBorders>
              <w:top w:val="nil"/>
              <w:left w:val="single" w:sz="4" w:space="0" w:color="auto"/>
              <w:bottom w:val="single" w:sz="4" w:space="0" w:color="auto"/>
              <w:right w:val="single" w:sz="4" w:space="0" w:color="auto"/>
            </w:tcBorders>
            <w:noWrap/>
            <w:vAlign w:val="bottom"/>
            <w:hideMark/>
          </w:tcPr>
          <w:p w14:paraId="1E22028E"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647</w:t>
            </w:r>
          </w:p>
        </w:tc>
        <w:tc>
          <w:tcPr>
            <w:tcW w:w="701" w:type="dxa"/>
            <w:tcBorders>
              <w:top w:val="nil"/>
              <w:left w:val="single" w:sz="4" w:space="0" w:color="auto"/>
              <w:bottom w:val="single" w:sz="4" w:space="0" w:color="auto"/>
              <w:right w:val="single" w:sz="4" w:space="0" w:color="auto"/>
            </w:tcBorders>
            <w:noWrap/>
            <w:vAlign w:val="bottom"/>
            <w:hideMark/>
          </w:tcPr>
          <w:p w14:paraId="19C8B79D"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9</w:t>
            </w:r>
          </w:p>
        </w:tc>
        <w:tc>
          <w:tcPr>
            <w:tcW w:w="703" w:type="dxa"/>
            <w:tcBorders>
              <w:top w:val="nil"/>
              <w:left w:val="single" w:sz="4" w:space="0" w:color="auto"/>
              <w:bottom w:val="single" w:sz="4" w:space="0" w:color="auto"/>
              <w:right w:val="single" w:sz="4" w:space="0" w:color="auto"/>
            </w:tcBorders>
            <w:noWrap/>
            <w:vAlign w:val="bottom"/>
            <w:hideMark/>
          </w:tcPr>
          <w:p w14:paraId="4438B416"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664</w:t>
            </w:r>
          </w:p>
        </w:tc>
        <w:tc>
          <w:tcPr>
            <w:tcW w:w="701" w:type="dxa"/>
            <w:tcBorders>
              <w:top w:val="nil"/>
              <w:left w:val="single" w:sz="4" w:space="0" w:color="auto"/>
              <w:bottom w:val="single" w:sz="4" w:space="0" w:color="auto"/>
              <w:right w:val="single" w:sz="4" w:space="0" w:color="auto"/>
            </w:tcBorders>
            <w:noWrap/>
            <w:vAlign w:val="bottom"/>
            <w:hideMark/>
          </w:tcPr>
          <w:p w14:paraId="4E6196B8"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9</w:t>
            </w:r>
          </w:p>
        </w:tc>
        <w:tc>
          <w:tcPr>
            <w:tcW w:w="703" w:type="dxa"/>
            <w:tcBorders>
              <w:top w:val="nil"/>
              <w:left w:val="single" w:sz="4" w:space="0" w:color="auto"/>
              <w:bottom w:val="single" w:sz="4" w:space="0" w:color="auto"/>
              <w:right w:val="single" w:sz="4" w:space="0" w:color="auto"/>
            </w:tcBorders>
            <w:noWrap/>
            <w:vAlign w:val="bottom"/>
            <w:hideMark/>
          </w:tcPr>
          <w:p w14:paraId="10DFEBCF"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635</w:t>
            </w:r>
          </w:p>
        </w:tc>
        <w:tc>
          <w:tcPr>
            <w:tcW w:w="701" w:type="dxa"/>
            <w:tcBorders>
              <w:top w:val="nil"/>
              <w:left w:val="single" w:sz="4" w:space="0" w:color="auto"/>
              <w:bottom w:val="single" w:sz="4" w:space="0" w:color="auto"/>
              <w:right w:val="single" w:sz="4" w:space="0" w:color="auto"/>
            </w:tcBorders>
            <w:noWrap/>
            <w:vAlign w:val="bottom"/>
            <w:hideMark/>
          </w:tcPr>
          <w:p w14:paraId="79662B4E"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8</w:t>
            </w:r>
          </w:p>
        </w:tc>
      </w:tr>
      <w:tr w:rsidR="00C876C9" w:rsidRPr="00C876C9" w14:paraId="12A22404" w14:textId="77777777" w:rsidTr="00C876C9">
        <w:trPr>
          <w:trHeight w:val="375"/>
        </w:trPr>
        <w:tc>
          <w:tcPr>
            <w:tcW w:w="2031" w:type="dxa"/>
            <w:tcBorders>
              <w:top w:val="nil"/>
              <w:left w:val="single" w:sz="4" w:space="0" w:color="auto"/>
              <w:bottom w:val="single" w:sz="4" w:space="0" w:color="auto"/>
              <w:right w:val="single" w:sz="4" w:space="0" w:color="auto"/>
            </w:tcBorders>
            <w:noWrap/>
            <w:vAlign w:val="bottom"/>
            <w:hideMark/>
          </w:tcPr>
          <w:p w14:paraId="6D9B3C0F" w14:textId="77777777" w:rsidR="00C876C9" w:rsidRPr="00C876C9" w:rsidRDefault="00C876C9" w:rsidP="00C876C9">
            <w:pPr>
              <w:bidi/>
              <w:spacing w:after="0" w:line="240" w:lineRule="auto"/>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tl/>
              </w:rPr>
              <w:t>الزيادة في النفقات</w:t>
            </w:r>
          </w:p>
        </w:tc>
        <w:tc>
          <w:tcPr>
            <w:tcW w:w="764" w:type="dxa"/>
            <w:tcBorders>
              <w:top w:val="nil"/>
              <w:left w:val="single" w:sz="4" w:space="0" w:color="auto"/>
              <w:bottom w:val="single" w:sz="4" w:space="0" w:color="auto"/>
              <w:right w:val="single" w:sz="4" w:space="0" w:color="auto"/>
            </w:tcBorders>
            <w:noWrap/>
            <w:vAlign w:val="bottom"/>
            <w:hideMark/>
          </w:tcPr>
          <w:p w14:paraId="775BEF1A" w14:textId="77777777" w:rsidR="00C876C9" w:rsidRPr="00C876C9" w:rsidRDefault="00C876C9" w:rsidP="00C876C9">
            <w:pPr>
              <w:spacing w:after="0" w:line="240" w:lineRule="auto"/>
              <w:rPr>
                <w:rFonts w:ascii="Calibri" w:eastAsia="Times New Roman" w:hAnsi="Calibri" w:cs="Times New Roman"/>
                <w:color w:val="000000"/>
                <w:sz w:val="24"/>
                <w:szCs w:val="24"/>
                <w:rtl/>
              </w:rPr>
            </w:pPr>
            <w:r w:rsidRPr="00C876C9">
              <w:rPr>
                <w:rFonts w:ascii="Calibri" w:eastAsia="Times New Roman" w:hAnsi="Calibri" w:cs="Times New Roman"/>
                <w:color w:val="000000"/>
                <w:sz w:val="24"/>
                <w:szCs w:val="24"/>
              </w:rPr>
              <w:t> </w:t>
            </w:r>
          </w:p>
        </w:tc>
        <w:tc>
          <w:tcPr>
            <w:tcW w:w="922" w:type="dxa"/>
            <w:tcBorders>
              <w:top w:val="nil"/>
              <w:left w:val="single" w:sz="4" w:space="0" w:color="auto"/>
              <w:bottom w:val="single" w:sz="4" w:space="0" w:color="auto"/>
              <w:right w:val="single" w:sz="4" w:space="0" w:color="auto"/>
            </w:tcBorders>
            <w:noWrap/>
            <w:vAlign w:val="bottom"/>
            <w:hideMark/>
          </w:tcPr>
          <w:p w14:paraId="1CF0A8C4" w14:textId="77777777" w:rsidR="00C876C9" w:rsidRPr="00C876C9" w:rsidRDefault="00C876C9" w:rsidP="00C876C9">
            <w:pPr>
              <w:spacing w:after="0" w:line="240" w:lineRule="auto"/>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 </w:t>
            </w:r>
          </w:p>
        </w:tc>
        <w:tc>
          <w:tcPr>
            <w:tcW w:w="764" w:type="dxa"/>
            <w:tcBorders>
              <w:top w:val="nil"/>
              <w:left w:val="single" w:sz="4" w:space="0" w:color="auto"/>
              <w:bottom w:val="single" w:sz="4" w:space="0" w:color="auto"/>
              <w:right w:val="single" w:sz="4" w:space="0" w:color="auto"/>
            </w:tcBorders>
            <w:noWrap/>
            <w:vAlign w:val="bottom"/>
            <w:hideMark/>
          </w:tcPr>
          <w:p w14:paraId="57872578"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1068</w:t>
            </w:r>
          </w:p>
        </w:tc>
        <w:tc>
          <w:tcPr>
            <w:tcW w:w="701" w:type="dxa"/>
            <w:tcBorders>
              <w:top w:val="nil"/>
              <w:left w:val="single" w:sz="4" w:space="0" w:color="auto"/>
              <w:bottom w:val="single" w:sz="4" w:space="0" w:color="auto"/>
              <w:right w:val="single" w:sz="4" w:space="0" w:color="auto"/>
            </w:tcBorders>
            <w:noWrap/>
            <w:vAlign w:val="bottom"/>
            <w:hideMark/>
          </w:tcPr>
          <w:p w14:paraId="76B54442"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25</w:t>
            </w:r>
          </w:p>
        </w:tc>
        <w:tc>
          <w:tcPr>
            <w:tcW w:w="764" w:type="dxa"/>
            <w:tcBorders>
              <w:top w:val="nil"/>
              <w:left w:val="single" w:sz="4" w:space="0" w:color="auto"/>
              <w:bottom w:val="single" w:sz="4" w:space="0" w:color="auto"/>
              <w:right w:val="single" w:sz="4" w:space="0" w:color="auto"/>
            </w:tcBorders>
            <w:noWrap/>
            <w:vAlign w:val="bottom"/>
            <w:hideMark/>
          </w:tcPr>
          <w:p w14:paraId="230885C0"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1442</w:t>
            </w:r>
          </w:p>
        </w:tc>
        <w:tc>
          <w:tcPr>
            <w:tcW w:w="701" w:type="dxa"/>
            <w:tcBorders>
              <w:top w:val="nil"/>
              <w:left w:val="single" w:sz="4" w:space="0" w:color="auto"/>
              <w:bottom w:val="single" w:sz="4" w:space="0" w:color="auto"/>
              <w:right w:val="single" w:sz="4" w:space="0" w:color="auto"/>
            </w:tcBorders>
            <w:noWrap/>
            <w:vAlign w:val="bottom"/>
            <w:hideMark/>
          </w:tcPr>
          <w:p w14:paraId="18FFCE46"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27</w:t>
            </w:r>
          </w:p>
        </w:tc>
        <w:tc>
          <w:tcPr>
            <w:tcW w:w="703" w:type="dxa"/>
            <w:tcBorders>
              <w:top w:val="nil"/>
              <w:left w:val="single" w:sz="4" w:space="0" w:color="auto"/>
              <w:bottom w:val="single" w:sz="4" w:space="0" w:color="auto"/>
              <w:right w:val="single" w:sz="4" w:space="0" w:color="auto"/>
            </w:tcBorders>
            <w:noWrap/>
            <w:vAlign w:val="bottom"/>
            <w:hideMark/>
          </w:tcPr>
          <w:p w14:paraId="28991DC3"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412</w:t>
            </w:r>
          </w:p>
        </w:tc>
        <w:tc>
          <w:tcPr>
            <w:tcW w:w="701" w:type="dxa"/>
            <w:tcBorders>
              <w:top w:val="nil"/>
              <w:left w:val="single" w:sz="4" w:space="0" w:color="auto"/>
              <w:bottom w:val="single" w:sz="4" w:space="0" w:color="auto"/>
              <w:right w:val="single" w:sz="4" w:space="0" w:color="auto"/>
            </w:tcBorders>
            <w:noWrap/>
            <w:vAlign w:val="bottom"/>
            <w:hideMark/>
          </w:tcPr>
          <w:p w14:paraId="15177C83"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6</w:t>
            </w:r>
          </w:p>
        </w:tc>
        <w:tc>
          <w:tcPr>
            <w:tcW w:w="703" w:type="dxa"/>
            <w:tcBorders>
              <w:top w:val="nil"/>
              <w:left w:val="single" w:sz="4" w:space="0" w:color="auto"/>
              <w:bottom w:val="single" w:sz="4" w:space="0" w:color="auto"/>
              <w:right w:val="single" w:sz="4" w:space="0" w:color="auto"/>
            </w:tcBorders>
            <w:noWrap/>
            <w:vAlign w:val="bottom"/>
            <w:hideMark/>
          </w:tcPr>
          <w:p w14:paraId="411069AF"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449</w:t>
            </w:r>
          </w:p>
        </w:tc>
        <w:tc>
          <w:tcPr>
            <w:tcW w:w="701" w:type="dxa"/>
            <w:tcBorders>
              <w:top w:val="nil"/>
              <w:left w:val="single" w:sz="4" w:space="0" w:color="auto"/>
              <w:bottom w:val="single" w:sz="4" w:space="0" w:color="auto"/>
              <w:right w:val="single" w:sz="4" w:space="0" w:color="auto"/>
            </w:tcBorders>
            <w:noWrap/>
            <w:vAlign w:val="bottom"/>
            <w:hideMark/>
          </w:tcPr>
          <w:p w14:paraId="2DB32BFA"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6</w:t>
            </w:r>
          </w:p>
        </w:tc>
        <w:tc>
          <w:tcPr>
            <w:tcW w:w="703" w:type="dxa"/>
            <w:tcBorders>
              <w:top w:val="nil"/>
              <w:left w:val="single" w:sz="4" w:space="0" w:color="auto"/>
              <w:bottom w:val="single" w:sz="4" w:space="0" w:color="auto"/>
              <w:right w:val="single" w:sz="4" w:space="0" w:color="auto"/>
            </w:tcBorders>
            <w:noWrap/>
            <w:vAlign w:val="bottom"/>
            <w:hideMark/>
          </w:tcPr>
          <w:p w14:paraId="4DAAE1A6"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455</w:t>
            </w:r>
          </w:p>
        </w:tc>
        <w:tc>
          <w:tcPr>
            <w:tcW w:w="701" w:type="dxa"/>
            <w:tcBorders>
              <w:top w:val="nil"/>
              <w:left w:val="single" w:sz="4" w:space="0" w:color="auto"/>
              <w:bottom w:val="single" w:sz="4" w:space="0" w:color="auto"/>
              <w:right w:val="single" w:sz="4" w:space="0" w:color="auto"/>
            </w:tcBorders>
            <w:noWrap/>
            <w:vAlign w:val="bottom"/>
            <w:hideMark/>
          </w:tcPr>
          <w:p w14:paraId="2F9F7040" w14:textId="77777777" w:rsidR="00C876C9" w:rsidRPr="00C876C9" w:rsidRDefault="00C876C9" w:rsidP="00C876C9">
            <w:pPr>
              <w:spacing w:after="0" w:line="240" w:lineRule="auto"/>
              <w:jc w:val="right"/>
              <w:rPr>
                <w:rFonts w:ascii="Calibri" w:eastAsia="Times New Roman" w:hAnsi="Calibri" w:cs="Times New Roman"/>
                <w:color w:val="000000"/>
                <w:sz w:val="24"/>
                <w:szCs w:val="24"/>
              </w:rPr>
            </w:pPr>
            <w:r w:rsidRPr="00C876C9">
              <w:rPr>
                <w:rFonts w:ascii="Calibri" w:eastAsia="Times New Roman" w:hAnsi="Calibri" w:cs="Times New Roman"/>
                <w:color w:val="000000"/>
                <w:sz w:val="24"/>
                <w:szCs w:val="24"/>
              </w:rPr>
              <w:t>6</w:t>
            </w:r>
          </w:p>
        </w:tc>
      </w:tr>
    </w:tbl>
    <w:p w14:paraId="714C5BFB" w14:textId="77777777" w:rsidR="00B37443" w:rsidRDefault="00B37443" w:rsidP="00B37443">
      <w:pPr>
        <w:pStyle w:val="ListParagraph"/>
        <w:bidi/>
        <w:ind w:left="90"/>
        <w:jc w:val="both"/>
        <w:rPr>
          <w:rFonts w:ascii="Simplified Arabic" w:hAnsi="Simplified Arabic" w:cs="Simplified Arabic"/>
          <w:sz w:val="28"/>
          <w:szCs w:val="28"/>
        </w:rPr>
      </w:pPr>
    </w:p>
    <w:p w14:paraId="1971A4AC" w14:textId="77777777" w:rsidR="00B37443" w:rsidRDefault="000E21E5" w:rsidP="008C5C72">
      <w:pPr>
        <w:pStyle w:val="ListParagraph"/>
        <w:bidi/>
        <w:ind w:left="90"/>
        <w:jc w:val="both"/>
        <w:rPr>
          <w:rFonts w:ascii="Simplified Arabic" w:hAnsi="Simplified Arabic" w:cs="Simplified Arabic"/>
          <w:sz w:val="28"/>
          <w:szCs w:val="28"/>
          <w:rtl/>
        </w:rPr>
      </w:pPr>
      <w:r>
        <w:rPr>
          <w:rFonts w:ascii="Simplified Arabic" w:hAnsi="Simplified Arabic" w:cs="Simplified Arabic" w:hint="cs"/>
          <w:sz w:val="28"/>
          <w:szCs w:val="28"/>
          <w:rtl/>
        </w:rPr>
        <w:t>إن السينار</w:t>
      </w:r>
      <w:r w:rsidR="008C5C72">
        <w:rPr>
          <w:rFonts w:ascii="Simplified Arabic" w:hAnsi="Simplified Arabic" w:cs="Simplified Arabic" w:hint="cs"/>
          <w:sz w:val="28"/>
          <w:szCs w:val="28"/>
          <w:rtl/>
        </w:rPr>
        <w:t>يو</w:t>
      </w:r>
      <w:r>
        <w:rPr>
          <w:rFonts w:ascii="Simplified Arabic" w:hAnsi="Simplified Arabic" w:cs="Simplified Arabic" w:hint="cs"/>
          <w:sz w:val="28"/>
          <w:szCs w:val="28"/>
          <w:rtl/>
        </w:rPr>
        <w:t xml:space="preserve"> المبين أعلاه، يفتقد الى الواقعية وصحة الأرقام إذ أن معدل الإنكماش المبين في التقرير هو في حدود 6 و7% في حين يتوقع السيناريو زيادة في الواردات تتراوح بين 8 و9% وزيادة في الإنفاق تتراوح بين 6 و27% ، وهذا يعني عملياً فرض زيادة في الضرائب على الإستهلاك ، وبالتالي زيادة الضغط الضريبي على مداخيل المواطنين وخاصة المستهلكين من أصحاب الدخل الفقير والمتوسط مما يؤدي الى خفض القدرة الشرائية للمداخيل وإنخفاض الإستهلاك وخفض الطلب على المنتجات وهذا يؤثر على إنكماش إضافي في الإقتصاد الوطني.</w:t>
      </w:r>
    </w:p>
    <w:p w14:paraId="37C710F5" w14:textId="77777777" w:rsidR="008C5C72" w:rsidRDefault="008C5C72" w:rsidP="008C5C72">
      <w:pPr>
        <w:pStyle w:val="ListParagraph"/>
        <w:bidi/>
        <w:ind w:left="90"/>
        <w:jc w:val="both"/>
        <w:rPr>
          <w:rFonts w:ascii="Simplified Arabic" w:hAnsi="Simplified Arabic" w:cs="Simplified Arabic"/>
          <w:sz w:val="28"/>
          <w:szCs w:val="28"/>
          <w:rtl/>
        </w:rPr>
      </w:pPr>
    </w:p>
    <w:p w14:paraId="6AE262DD" w14:textId="77777777" w:rsidR="00866C3E" w:rsidRDefault="00866C3E" w:rsidP="008C5C72">
      <w:pPr>
        <w:pStyle w:val="ListParagraph"/>
        <w:bidi/>
        <w:ind w:left="90"/>
        <w:jc w:val="center"/>
        <w:rPr>
          <w:rFonts w:ascii="Simplified Arabic" w:hAnsi="Simplified Arabic" w:cs="Simplified Arabic"/>
          <w:b/>
          <w:bCs/>
          <w:sz w:val="28"/>
          <w:szCs w:val="28"/>
          <w:rtl/>
        </w:rPr>
      </w:pPr>
    </w:p>
    <w:p w14:paraId="09F7ACA7" w14:textId="77777777" w:rsidR="000E21E5" w:rsidRDefault="003A151B" w:rsidP="006C6F9D">
      <w:pPr>
        <w:pStyle w:val="ListParagraph"/>
        <w:bidi/>
        <w:ind w:left="90"/>
        <w:rPr>
          <w:rFonts w:ascii="Simplified Arabic" w:hAnsi="Simplified Arabic" w:cs="Simplified Arabic"/>
          <w:b/>
          <w:bCs/>
          <w:sz w:val="28"/>
          <w:szCs w:val="28"/>
          <w:rtl/>
        </w:rPr>
      </w:pPr>
      <w:r w:rsidRPr="008C5C72">
        <w:rPr>
          <w:rFonts w:ascii="Simplified Arabic" w:hAnsi="Simplified Arabic" w:cs="Simplified Arabic" w:hint="cs"/>
          <w:b/>
          <w:bCs/>
          <w:sz w:val="28"/>
          <w:szCs w:val="28"/>
          <w:rtl/>
        </w:rPr>
        <w:t>عن</w:t>
      </w:r>
      <w:r w:rsidR="008C5C72">
        <w:rPr>
          <w:rFonts w:ascii="Simplified Arabic" w:hAnsi="Simplified Arabic" w:cs="Simplified Arabic" w:hint="cs"/>
          <w:b/>
          <w:bCs/>
          <w:sz w:val="28"/>
          <w:szCs w:val="28"/>
          <w:rtl/>
        </w:rPr>
        <w:t xml:space="preserve">اوين مشروع الموازنة للعام 2027 </w:t>
      </w:r>
      <w:r w:rsidR="006C6F9D">
        <w:rPr>
          <w:rFonts w:ascii="Simplified Arabic" w:hAnsi="Simplified Arabic" w:cs="Simplified Arabic" w:hint="cs"/>
          <w:b/>
          <w:bCs/>
          <w:sz w:val="28"/>
          <w:szCs w:val="28"/>
          <w:rtl/>
        </w:rPr>
        <w:t>:</w:t>
      </w:r>
    </w:p>
    <w:p w14:paraId="7DA73996" w14:textId="77777777" w:rsidR="008C5C72" w:rsidRPr="008C5C72" w:rsidRDefault="008C5C72" w:rsidP="008C5C72">
      <w:pPr>
        <w:pStyle w:val="ListParagraph"/>
        <w:bidi/>
        <w:ind w:left="90"/>
        <w:jc w:val="center"/>
        <w:rPr>
          <w:rFonts w:ascii="Simplified Arabic" w:hAnsi="Simplified Arabic" w:cs="Simplified Arabic"/>
          <w:b/>
          <w:bCs/>
          <w:sz w:val="28"/>
          <w:szCs w:val="28"/>
          <w:rtl/>
        </w:rPr>
      </w:pPr>
    </w:p>
    <w:p w14:paraId="1359352B" w14:textId="77777777" w:rsidR="003A151B" w:rsidRDefault="003A151B" w:rsidP="003A151B">
      <w:pPr>
        <w:pStyle w:val="ListParagraph"/>
        <w:bidi/>
        <w:ind w:left="90"/>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بحسب تقرير وزير المالية تنطلق موازنة 2027 من مجموعة من المبادئ والأهداف الرئيسية وهي :</w:t>
      </w:r>
    </w:p>
    <w:p w14:paraId="605967E5" w14:textId="77777777" w:rsidR="003A151B" w:rsidRPr="008C5C72" w:rsidRDefault="003A151B" w:rsidP="003A151B">
      <w:pPr>
        <w:pStyle w:val="ListParagraph"/>
        <w:numPr>
          <w:ilvl w:val="0"/>
          <w:numId w:val="3"/>
        </w:numPr>
        <w:bidi/>
        <w:jc w:val="both"/>
        <w:rPr>
          <w:rFonts w:ascii="Simplified Arabic" w:hAnsi="Simplified Arabic" w:cs="Simplified Arabic"/>
          <w:b/>
          <w:bCs/>
          <w:sz w:val="28"/>
          <w:szCs w:val="28"/>
        </w:rPr>
      </w:pPr>
      <w:r w:rsidRPr="008C5C72">
        <w:rPr>
          <w:rFonts w:ascii="Simplified Arabic" w:hAnsi="Simplified Arabic" w:cs="Simplified Arabic" w:hint="cs"/>
          <w:b/>
          <w:bCs/>
          <w:sz w:val="28"/>
          <w:szCs w:val="28"/>
          <w:rtl/>
        </w:rPr>
        <w:t>الإنضباط المالي أو القيد المالي الصارم</w:t>
      </w:r>
    </w:p>
    <w:p w14:paraId="60F39BA6" w14:textId="77777777" w:rsidR="003A151B" w:rsidRDefault="003A151B" w:rsidP="002A3B95">
      <w:pPr>
        <w:pStyle w:val="ListParagraph"/>
        <w:bidi/>
        <w:ind w:left="450"/>
        <w:jc w:val="both"/>
        <w:rPr>
          <w:rFonts w:ascii="Simplified Arabic" w:hAnsi="Simplified Arabic" w:cs="Simplified Arabic"/>
          <w:sz w:val="28"/>
          <w:szCs w:val="28"/>
        </w:rPr>
      </w:pPr>
      <w:r>
        <w:rPr>
          <w:rFonts w:ascii="Simplified Arabic" w:hAnsi="Simplified Arabic" w:cs="Simplified Arabic" w:hint="cs"/>
          <w:sz w:val="28"/>
          <w:szCs w:val="28"/>
          <w:rtl/>
        </w:rPr>
        <w:t>وبحسب التق</w:t>
      </w:r>
      <w:r w:rsidR="002A3B95">
        <w:rPr>
          <w:rFonts w:ascii="Simplified Arabic" w:hAnsi="Simplified Arabic" w:cs="Simplified Arabic" w:hint="cs"/>
          <w:sz w:val="28"/>
          <w:szCs w:val="28"/>
          <w:rtl/>
        </w:rPr>
        <w:t>ر</w:t>
      </w:r>
      <w:r>
        <w:rPr>
          <w:rFonts w:ascii="Simplified Arabic" w:hAnsi="Simplified Arabic" w:cs="Simplified Arabic" w:hint="cs"/>
          <w:sz w:val="28"/>
          <w:szCs w:val="28"/>
          <w:rtl/>
        </w:rPr>
        <w:t xml:space="preserve">ير يتمثل </w:t>
      </w:r>
      <w:r w:rsidRPr="002A3B95">
        <w:rPr>
          <w:rFonts w:ascii="Simplified Arabic" w:hAnsi="Simplified Arabic" w:cs="Simplified Arabic" w:hint="cs"/>
          <w:b/>
          <w:bCs/>
          <w:sz w:val="28"/>
          <w:szCs w:val="28"/>
          <w:rtl/>
        </w:rPr>
        <w:t>الإنضباط المالي بترشيد الإنفاق والإدارة الحذرة للسيولة والحفاظ على أرصدة مالية</w:t>
      </w:r>
      <w:r>
        <w:rPr>
          <w:rFonts w:ascii="Simplified Arabic" w:hAnsi="Simplified Arabic" w:cs="Simplified Arabic" w:hint="cs"/>
          <w:sz w:val="28"/>
          <w:szCs w:val="28"/>
          <w:rtl/>
        </w:rPr>
        <w:t xml:space="preserve"> </w:t>
      </w:r>
      <w:r w:rsidRPr="002A3B95">
        <w:rPr>
          <w:rFonts w:ascii="Simplified Arabic" w:hAnsi="Simplified Arabic" w:cs="Simplified Arabic" w:hint="cs"/>
          <w:b/>
          <w:bCs/>
          <w:sz w:val="28"/>
          <w:szCs w:val="28"/>
          <w:rtl/>
        </w:rPr>
        <w:t>إيجابية للخزي</w:t>
      </w:r>
      <w:r w:rsidR="001340F7" w:rsidRPr="002A3B95">
        <w:rPr>
          <w:rFonts w:ascii="Simplified Arabic" w:hAnsi="Simplified Arabic" w:cs="Simplified Arabic" w:hint="cs"/>
          <w:b/>
          <w:bCs/>
          <w:sz w:val="28"/>
          <w:szCs w:val="28"/>
          <w:rtl/>
        </w:rPr>
        <w:t>ن</w:t>
      </w:r>
      <w:r w:rsidRPr="002A3B95">
        <w:rPr>
          <w:rFonts w:ascii="Simplified Arabic" w:hAnsi="Simplified Arabic" w:cs="Simplified Arabic" w:hint="cs"/>
          <w:b/>
          <w:bCs/>
          <w:sz w:val="28"/>
          <w:szCs w:val="28"/>
          <w:rtl/>
        </w:rPr>
        <w:t>ة</w:t>
      </w:r>
      <w:r>
        <w:rPr>
          <w:rFonts w:ascii="Simplified Arabic" w:hAnsi="Simplified Arabic" w:cs="Simplified Arabic" w:hint="cs"/>
          <w:sz w:val="28"/>
          <w:szCs w:val="28"/>
          <w:rtl/>
        </w:rPr>
        <w:t xml:space="preserve"> ، </w:t>
      </w:r>
      <w:r w:rsidRPr="002A3B95">
        <w:rPr>
          <w:rFonts w:ascii="Simplified Arabic" w:hAnsi="Simplified Arabic" w:cs="Simplified Arabic" w:hint="cs"/>
          <w:b/>
          <w:bCs/>
          <w:sz w:val="28"/>
          <w:szCs w:val="28"/>
          <w:rtl/>
        </w:rPr>
        <w:t>ال</w:t>
      </w:r>
      <w:r w:rsidR="00C26A21" w:rsidRPr="002A3B95">
        <w:rPr>
          <w:rFonts w:ascii="Simplified Arabic" w:hAnsi="Simplified Arabic" w:cs="Simplified Arabic" w:hint="cs"/>
          <w:b/>
          <w:bCs/>
          <w:sz w:val="28"/>
          <w:szCs w:val="28"/>
          <w:rtl/>
        </w:rPr>
        <w:t>ت</w:t>
      </w:r>
      <w:r w:rsidRPr="002A3B95">
        <w:rPr>
          <w:rFonts w:ascii="Simplified Arabic" w:hAnsi="Simplified Arabic" w:cs="Simplified Arabic" w:hint="cs"/>
          <w:b/>
          <w:bCs/>
          <w:sz w:val="28"/>
          <w:szCs w:val="28"/>
          <w:rtl/>
        </w:rPr>
        <w:t>عقيم المالي</w:t>
      </w:r>
      <w:r w:rsidR="00C26A21">
        <w:rPr>
          <w:rFonts w:ascii="Simplified Arabic" w:hAnsi="Simplified Arabic" w:cs="Simplified Arabic" w:hint="cs"/>
          <w:sz w:val="28"/>
          <w:szCs w:val="28"/>
          <w:rtl/>
        </w:rPr>
        <w:t>، وبحسب التقرير فإن هذا الإنضباط أدى الى إستقرار سعر الصرف ، عدم إستنزاف إحتياطات مصرف لبنان بالعملات الأجنبية وإستقرار نقدي . وبحسب تقرير وزير المالية فإن هذا القيد لا يعني ت</w:t>
      </w:r>
      <w:r w:rsidR="002A3B95">
        <w:rPr>
          <w:rFonts w:ascii="Simplified Arabic" w:hAnsi="Simplified Arabic" w:cs="Simplified Arabic" w:hint="cs"/>
          <w:sz w:val="28"/>
          <w:szCs w:val="28"/>
          <w:rtl/>
        </w:rPr>
        <w:t>ج</w:t>
      </w:r>
      <w:r w:rsidR="00C26A21">
        <w:rPr>
          <w:rFonts w:ascii="Simplified Arabic" w:hAnsi="Simplified Arabic" w:cs="Simplified Arabic" w:hint="cs"/>
          <w:sz w:val="28"/>
          <w:szCs w:val="28"/>
          <w:rtl/>
        </w:rPr>
        <w:t>مي</w:t>
      </w:r>
      <w:r w:rsidR="002A3B95">
        <w:rPr>
          <w:rFonts w:ascii="Simplified Arabic" w:hAnsi="Simplified Arabic" w:cs="Simplified Arabic" w:hint="cs"/>
          <w:sz w:val="28"/>
          <w:szCs w:val="28"/>
          <w:rtl/>
        </w:rPr>
        <w:t>د</w:t>
      </w:r>
      <w:r w:rsidR="00C26A21">
        <w:rPr>
          <w:rFonts w:ascii="Simplified Arabic" w:hAnsi="Simplified Arabic" w:cs="Simplified Arabic" w:hint="cs"/>
          <w:sz w:val="28"/>
          <w:szCs w:val="28"/>
          <w:rtl/>
        </w:rPr>
        <w:t xml:space="preserve"> دور الدولة بل يعني إعادة توجيه الموارد ن</w:t>
      </w:r>
      <w:r w:rsidR="002A3B95">
        <w:rPr>
          <w:rFonts w:ascii="Simplified Arabic" w:hAnsi="Simplified Arabic" w:cs="Simplified Arabic" w:hint="cs"/>
          <w:sz w:val="28"/>
          <w:szCs w:val="28"/>
          <w:rtl/>
        </w:rPr>
        <w:t>حو الأولويات الأكثر إلحاحاً</w:t>
      </w:r>
      <w:r w:rsidR="00C26A21">
        <w:rPr>
          <w:rFonts w:ascii="Simplified Arabic" w:hAnsi="Simplified Arabic" w:cs="Simplified Arabic" w:hint="cs"/>
          <w:sz w:val="28"/>
          <w:szCs w:val="28"/>
          <w:rtl/>
        </w:rPr>
        <w:t>:</w:t>
      </w:r>
    </w:p>
    <w:p w14:paraId="7CA718E0" w14:textId="77777777" w:rsidR="00C26A21" w:rsidRDefault="00C26A21" w:rsidP="009C258E">
      <w:pPr>
        <w:pStyle w:val="ListParagraph"/>
        <w:bidi/>
        <w:ind w:left="450"/>
        <w:jc w:val="both"/>
        <w:rPr>
          <w:rFonts w:ascii="Simplified Arabic" w:hAnsi="Simplified Arabic" w:cs="Simplified Arabic"/>
          <w:sz w:val="28"/>
          <w:szCs w:val="28"/>
        </w:rPr>
      </w:pPr>
      <w:r w:rsidRPr="002A3B95">
        <w:rPr>
          <w:rFonts w:ascii="Simplified Arabic" w:hAnsi="Simplified Arabic" w:cs="Simplified Arabic" w:hint="cs"/>
          <w:b/>
          <w:bCs/>
          <w:sz w:val="28"/>
          <w:szCs w:val="28"/>
          <w:rtl/>
        </w:rPr>
        <w:t>لا بد أولاً</w:t>
      </w:r>
      <w:r>
        <w:rPr>
          <w:rFonts w:ascii="Simplified Arabic" w:hAnsi="Simplified Arabic" w:cs="Simplified Arabic" w:hint="cs"/>
          <w:sz w:val="28"/>
          <w:szCs w:val="28"/>
          <w:rtl/>
        </w:rPr>
        <w:t xml:space="preserve"> من التفريق بين الإنضباط المالي والقيد المالي فالأول يعني الإلتزام بأحكام الدستور والقانون المالي ، وعدم إهدار الأموال ومنع ومكافحة الفساد المالي ، أما الثاني فيعني إستنكاف السلطة عن الإنفاق الإستثماري المجدي أو الإنفاق الجاري الضروري .</w:t>
      </w:r>
    </w:p>
    <w:p w14:paraId="317246F5" w14:textId="77777777" w:rsidR="00C26A21" w:rsidRDefault="00C26A21" w:rsidP="001340F7">
      <w:pPr>
        <w:pStyle w:val="ListParagraph"/>
        <w:bidi/>
        <w:ind w:left="450"/>
        <w:jc w:val="both"/>
        <w:rPr>
          <w:rFonts w:ascii="Simplified Arabic" w:hAnsi="Simplified Arabic" w:cs="Simplified Arabic"/>
          <w:sz w:val="28"/>
          <w:szCs w:val="28"/>
        </w:rPr>
      </w:pPr>
      <w:r>
        <w:rPr>
          <w:rFonts w:ascii="Simplified Arabic" w:hAnsi="Simplified Arabic" w:cs="Simplified Arabic" w:hint="cs"/>
          <w:sz w:val="28"/>
          <w:szCs w:val="28"/>
          <w:rtl/>
        </w:rPr>
        <w:t xml:space="preserve">وفي حالة لبنان الحاضرة وبعد ثماني سنوات من الإنهيار الإقتصادي </w:t>
      </w:r>
      <w:r w:rsidRPr="002A3B95">
        <w:rPr>
          <w:rFonts w:ascii="Simplified Arabic" w:hAnsi="Simplified Arabic" w:cs="Simplified Arabic" w:hint="cs"/>
          <w:b/>
          <w:bCs/>
          <w:sz w:val="28"/>
          <w:szCs w:val="28"/>
          <w:rtl/>
        </w:rPr>
        <w:t>يتوجب على الحكومة</w:t>
      </w:r>
      <w:r>
        <w:rPr>
          <w:rFonts w:ascii="Simplified Arabic" w:hAnsi="Simplified Arabic" w:cs="Simplified Arabic" w:hint="cs"/>
          <w:sz w:val="28"/>
          <w:szCs w:val="28"/>
          <w:rtl/>
        </w:rPr>
        <w:t xml:space="preserve"> زيادة الإنفاق الإستثماري الحكومي لتشجيع الإستهلاك وزيادة الطلب وخلق فرص عمل جديدة . إذ لا يجوز أبداً أن لا يتجاوز الإتفاق الإستثماري المقدر في موازنة 2027 الـ 11% في حين يعاني لبنان من أزمات حادة في الخدمات الأساسية في الكهرباء </w:t>
      </w:r>
      <w:r w:rsidR="008103F8">
        <w:rPr>
          <w:rFonts w:ascii="Simplified Arabic" w:hAnsi="Simplified Arabic" w:cs="Simplified Arabic" w:hint="cs"/>
          <w:sz w:val="28"/>
          <w:szCs w:val="28"/>
          <w:rtl/>
        </w:rPr>
        <w:t>، المياه ، المواصلات ، التعليم ، الصحة والسكن.</w:t>
      </w:r>
    </w:p>
    <w:p w14:paraId="0818E8F8" w14:textId="77777777" w:rsidR="008103F8" w:rsidRDefault="008103F8" w:rsidP="002A3B95">
      <w:pPr>
        <w:pStyle w:val="ListParagraph"/>
        <w:bidi/>
        <w:ind w:left="450"/>
        <w:jc w:val="both"/>
        <w:rPr>
          <w:rFonts w:ascii="Simplified Arabic" w:hAnsi="Simplified Arabic" w:cs="Simplified Arabic"/>
          <w:b/>
          <w:bCs/>
          <w:sz w:val="28"/>
          <w:szCs w:val="28"/>
          <w:rtl/>
        </w:rPr>
      </w:pPr>
      <w:r w:rsidRPr="002A3B95">
        <w:rPr>
          <w:rFonts w:ascii="Simplified Arabic" w:hAnsi="Simplified Arabic" w:cs="Simplified Arabic" w:hint="cs"/>
          <w:b/>
          <w:bCs/>
          <w:sz w:val="28"/>
          <w:szCs w:val="28"/>
          <w:rtl/>
        </w:rPr>
        <w:t>إن القيد المالي الصارم</w:t>
      </w:r>
      <w:r>
        <w:rPr>
          <w:rFonts w:ascii="Simplified Arabic" w:hAnsi="Simplified Arabic" w:cs="Simplified Arabic" w:hint="cs"/>
          <w:sz w:val="28"/>
          <w:szCs w:val="28"/>
          <w:rtl/>
        </w:rPr>
        <w:t xml:space="preserve"> الذي يتباهى به و</w:t>
      </w:r>
      <w:r w:rsidR="002A3B95">
        <w:rPr>
          <w:rFonts w:ascii="Simplified Arabic" w:hAnsi="Simplified Arabic" w:cs="Simplified Arabic" w:hint="cs"/>
          <w:sz w:val="28"/>
          <w:szCs w:val="28"/>
          <w:rtl/>
        </w:rPr>
        <w:t>ز</w:t>
      </w:r>
      <w:r>
        <w:rPr>
          <w:rFonts w:ascii="Simplified Arabic" w:hAnsi="Simplified Arabic" w:cs="Simplified Arabic" w:hint="cs"/>
          <w:sz w:val="28"/>
          <w:szCs w:val="28"/>
          <w:rtl/>
        </w:rPr>
        <w:t>ير المالي</w:t>
      </w:r>
      <w:r w:rsidR="002A3B95">
        <w:rPr>
          <w:rFonts w:ascii="Simplified Arabic" w:hAnsi="Simplified Arabic" w:cs="Simplified Arabic" w:hint="cs"/>
          <w:sz w:val="28"/>
          <w:szCs w:val="28"/>
          <w:rtl/>
        </w:rPr>
        <w:t>ة</w:t>
      </w:r>
      <w:r>
        <w:rPr>
          <w:rFonts w:ascii="Simplified Arabic" w:hAnsi="Simplified Arabic" w:cs="Simplified Arabic" w:hint="cs"/>
          <w:sz w:val="28"/>
          <w:szCs w:val="28"/>
          <w:rtl/>
        </w:rPr>
        <w:t xml:space="preserve"> </w:t>
      </w:r>
      <w:r w:rsidRPr="002A3B95">
        <w:rPr>
          <w:rFonts w:ascii="Simplified Arabic" w:hAnsi="Simplified Arabic" w:cs="Simplified Arabic" w:hint="cs"/>
          <w:b/>
          <w:bCs/>
          <w:sz w:val="28"/>
          <w:szCs w:val="28"/>
          <w:rtl/>
        </w:rPr>
        <w:t>ليس هو العامل الأساسي في الإستقرار النقدي</w:t>
      </w:r>
      <w:r>
        <w:rPr>
          <w:rFonts w:ascii="Simplified Arabic" w:hAnsi="Simplified Arabic" w:cs="Simplified Arabic" w:hint="cs"/>
          <w:sz w:val="28"/>
          <w:szCs w:val="28"/>
          <w:rtl/>
        </w:rPr>
        <w:t xml:space="preserve"> وإستقرار أسعار صرف صرف العملة الوطنية ، إذ أن ما أدى الى </w:t>
      </w:r>
      <w:r w:rsidRPr="002A3B95">
        <w:rPr>
          <w:rFonts w:ascii="Simplified Arabic" w:hAnsi="Simplified Arabic" w:cs="Simplified Arabic" w:hint="cs"/>
          <w:b/>
          <w:bCs/>
          <w:sz w:val="28"/>
          <w:szCs w:val="28"/>
          <w:rtl/>
        </w:rPr>
        <w:t>عدم الإستقرار النقدي هو القرار السياسي الداخلي والخارجي ب</w:t>
      </w:r>
      <w:r w:rsidR="002A3B95">
        <w:rPr>
          <w:rFonts w:ascii="Simplified Arabic" w:hAnsi="Simplified Arabic" w:cs="Simplified Arabic" w:hint="cs"/>
          <w:b/>
          <w:bCs/>
          <w:sz w:val="28"/>
          <w:szCs w:val="28"/>
          <w:rtl/>
        </w:rPr>
        <w:t>إ</w:t>
      </w:r>
      <w:r w:rsidRPr="002A3B95">
        <w:rPr>
          <w:rFonts w:ascii="Simplified Arabic" w:hAnsi="Simplified Arabic" w:cs="Simplified Arabic" w:hint="cs"/>
          <w:b/>
          <w:bCs/>
          <w:sz w:val="28"/>
          <w:szCs w:val="28"/>
          <w:rtl/>
        </w:rPr>
        <w:t>فلاس البلاد</w:t>
      </w:r>
      <w:r>
        <w:rPr>
          <w:rFonts w:ascii="Simplified Arabic" w:hAnsi="Simplified Arabic" w:cs="Simplified Arabic" w:hint="cs"/>
          <w:sz w:val="28"/>
          <w:szCs w:val="28"/>
          <w:rtl/>
        </w:rPr>
        <w:t xml:space="preserve"> لأغراض وأهداف سياسية خارجية لم تعد خافية على أحد . </w:t>
      </w:r>
      <w:r w:rsidRPr="00F24B68">
        <w:rPr>
          <w:rFonts w:ascii="Simplified Arabic" w:hAnsi="Simplified Arabic" w:cs="Simplified Arabic" w:hint="cs"/>
          <w:b/>
          <w:bCs/>
          <w:sz w:val="28"/>
          <w:szCs w:val="28"/>
          <w:rtl/>
        </w:rPr>
        <w:t xml:space="preserve">ثم أن إحتياطيات مصرف </w:t>
      </w:r>
      <w:r w:rsidR="00F24B68" w:rsidRPr="00F24B68">
        <w:rPr>
          <w:rFonts w:ascii="Simplified Arabic" w:hAnsi="Simplified Arabic" w:cs="Simplified Arabic" w:hint="cs"/>
          <w:b/>
          <w:bCs/>
          <w:sz w:val="28"/>
          <w:szCs w:val="28"/>
          <w:rtl/>
        </w:rPr>
        <w:t xml:space="preserve">لبنان </w:t>
      </w:r>
      <w:r w:rsidR="00AB2D4E" w:rsidRPr="00F24B68">
        <w:rPr>
          <w:rFonts w:ascii="Simplified Arabic" w:hAnsi="Simplified Arabic" w:cs="Simplified Arabic" w:hint="cs"/>
          <w:b/>
          <w:bCs/>
          <w:sz w:val="28"/>
          <w:szCs w:val="28"/>
          <w:rtl/>
        </w:rPr>
        <w:t>من الذهب والعملات الأجنبية لا يعود سببها الى القيد المالي ب</w:t>
      </w:r>
      <w:r w:rsidR="001340F7" w:rsidRPr="00F24B68">
        <w:rPr>
          <w:rFonts w:ascii="Simplified Arabic" w:hAnsi="Simplified Arabic" w:cs="Simplified Arabic" w:hint="cs"/>
          <w:b/>
          <w:bCs/>
          <w:sz w:val="28"/>
          <w:szCs w:val="28"/>
          <w:rtl/>
        </w:rPr>
        <w:t>ل الى</w:t>
      </w:r>
      <w:r w:rsidR="00F24B68" w:rsidRPr="00F24B68">
        <w:rPr>
          <w:rFonts w:ascii="Simplified Arabic" w:hAnsi="Simplified Arabic" w:cs="Simplified Arabic" w:hint="cs"/>
          <w:b/>
          <w:bCs/>
          <w:sz w:val="28"/>
          <w:szCs w:val="28"/>
          <w:rtl/>
        </w:rPr>
        <w:t xml:space="preserve"> </w:t>
      </w:r>
      <w:r w:rsidR="001340F7" w:rsidRPr="00F24B68">
        <w:rPr>
          <w:rFonts w:ascii="Simplified Arabic" w:hAnsi="Simplified Arabic" w:cs="Simplified Arabic" w:hint="cs"/>
          <w:b/>
          <w:bCs/>
          <w:sz w:val="28"/>
          <w:szCs w:val="28"/>
          <w:rtl/>
        </w:rPr>
        <w:t>إرتفاع أسعار الذهب عالمياً</w:t>
      </w:r>
      <w:r w:rsidR="00AB2D4E" w:rsidRPr="00F24B68">
        <w:rPr>
          <w:rFonts w:ascii="Simplified Arabic" w:hAnsi="Simplified Arabic" w:cs="Simplified Arabic" w:hint="cs"/>
          <w:b/>
          <w:bCs/>
          <w:sz w:val="28"/>
          <w:szCs w:val="28"/>
          <w:rtl/>
        </w:rPr>
        <w:t xml:space="preserve">. وهنا لا بد من أن نسأل معالي الوزير أين ذهبت </w:t>
      </w:r>
      <w:r w:rsidR="00EB347D" w:rsidRPr="00F24B68">
        <w:rPr>
          <w:rFonts w:ascii="Simplified Arabic" w:hAnsi="Simplified Arabic" w:cs="Simplified Arabic" w:hint="cs"/>
          <w:b/>
          <w:bCs/>
          <w:sz w:val="28"/>
          <w:szCs w:val="28"/>
          <w:rtl/>
        </w:rPr>
        <w:t xml:space="preserve">وتذهب أرباح الذهب وفروقات القطع والتي بلغت مليارات الدولارات  ولماذا لا تستعمل للإنفاق الإستثماري  ورد الودائع </w:t>
      </w:r>
      <w:r w:rsidR="001340F7" w:rsidRPr="00F24B68">
        <w:rPr>
          <w:rFonts w:ascii="Simplified Arabic" w:hAnsi="Simplified Arabic" w:cs="Simplified Arabic" w:hint="cs"/>
          <w:b/>
          <w:bCs/>
          <w:sz w:val="28"/>
          <w:szCs w:val="28"/>
          <w:rtl/>
        </w:rPr>
        <w:t xml:space="preserve">؟ </w:t>
      </w:r>
      <w:r w:rsidR="00EB347D" w:rsidRPr="00F24B68">
        <w:rPr>
          <w:rFonts w:ascii="Simplified Arabic" w:hAnsi="Simplified Arabic" w:cs="Simplified Arabic" w:hint="cs"/>
          <w:b/>
          <w:bCs/>
          <w:sz w:val="28"/>
          <w:szCs w:val="28"/>
          <w:rtl/>
        </w:rPr>
        <w:t>بل لماذا لا تستعمل ه</w:t>
      </w:r>
      <w:r w:rsidR="00F24B68" w:rsidRPr="00F24B68">
        <w:rPr>
          <w:rFonts w:ascii="Simplified Arabic" w:hAnsi="Simplified Arabic" w:cs="Simplified Arabic" w:hint="cs"/>
          <w:b/>
          <w:bCs/>
          <w:sz w:val="28"/>
          <w:szCs w:val="28"/>
          <w:rtl/>
        </w:rPr>
        <w:t>ذه الإحتياطيات في تحسين صرف اللي</w:t>
      </w:r>
      <w:r w:rsidR="00EB347D" w:rsidRPr="00F24B68">
        <w:rPr>
          <w:rFonts w:ascii="Simplified Arabic" w:hAnsi="Simplified Arabic" w:cs="Simplified Arabic" w:hint="cs"/>
          <w:b/>
          <w:bCs/>
          <w:sz w:val="28"/>
          <w:szCs w:val="28"/>
          <w:rtl/>
        </w:rPr>
        <w:t xml:space="preserve">رة اللبنانية حيث أن الفرصة المتاحة الى خفض سعر صرف الدولار الى ما دون الخمسة </w:t>
      </w:r>
      <w:r w:rsidR="009C258E" w:rsidRPr="00F24B68">
        <w:rPr>
          <w:rFonts w:ascii="Simplified Arabic" w:hAnsi="Simplified Arabic" w:cs="Simplified Arabic" w:hint="cs"/>
          <w:b/>
          <w:bCs/>
          <w:sz w:val="28"/>
          <w:szCs w:val="28"/>
          <w:rtl/>
        </w:rPr>
        <w:t>آ</w:t>
      </w:r>
      <w:r w:rsidR="00EB347D" w:rsidRPr="00F24B68">
        <w:rPr>
          <w:rFonts w:ascii="Simplified Arabic" w:hAnsi="Simplified Arabic" w:cs="Simplified Arabic" w:hint="cs"/>
          <w:b/>
          <w:bCs/>
          <w:sz w:val="28"/>
          <w:szCs w:val="28"/>
          <w:rtl/>
        </w:rPr>
        <w:t>لاف ل.ل.</w:t>
      </w:r>
    </w:p>
    <w:p w14:paraId="3EAE1BE7" w14:textId="77777777" w:rsidR="00866C3E" w:rsidRPr="00F24B68" w:rsidRDefault="00866C3E" w:rsidP="00866C3E">
      <w:pPr>
        <w:pStyle w:val="ListParagraph"/>
        <w:bidi/>
        <w:ind w:left="450"/>
        <w:jc w:val="both"/>
        <w:rPr>
          <w:rFonts w:ascii="Simplified Arabic" w:hAnsi="Simplified Arabic" w:cs="Simplified Arabic"/>
          <w:b/>
          <w:bCs/>
          <w:sz w:val="28"/>
          <w:szCs w:val="28"/>
        </w:rPr>
      </w:pPr>
    </w:p>
    <w:p w14:paraId="38715465" w14:textId="77777777" w:rsidR="00EB347D" w:rsidRPr="00F24B68" w:rsidRDefault="009C258E" w:rsidP="009C258E">
      <w:pPr>
        <w:pStyle w:val="ListParagraph"/>
        <w:bidi/>
        <w:ind w:left="450"/>
        <w:jc w:val="both"/>
        <w:rPr>
          <w:rFonts w:ascii="Simplified Arabic" w:hAnsi="Simplified Arabic" w:cs="Simplified Arabic"/>
          <w:b/>
          <w:bCs/>
          <w:sz w:val="28"/>
          <w:szCs w:val="28"/>
        </w:rPr>
      </w:pPr>
      <w:r>
        <w:rPr>
          <w:rFonts w:ascii="Simplified Arabic" w:hAnsi="Simplified Arabic" w:cs="Simplified Arabic" w:hint="cs"/>
          <w:sz w:val="28"/>
          <w:szCs w:val="28"/>
          <w:rtl/>
        </w:rPr>
        <w:t>2</w:t>
      </w:r>
      <w:r w:rsidR="00EB347D">
        <w:rPr>
          <w:rFonts w:ascii="Simplified Arabic" w:hAnsi="Simplified Arabic" w:cs="Simplified Arabic" w:hint="cs"/>
          <w:sz w:val="28"/>
          <w:szCs w:val="28"/>
          <w:rtl/>
        </w:rPr>
        <w:t xml:space="preserve">- </w:t>
      </w:r>
      <w:r w:rsidR="00EB347D" w:rsidRPr="00F24B68">
        <w:rPr>
          <w:rFonts w:ascii="Simplified Arabic" w:hAnsi="Simplified Arabic" w:cs="Simplified Arabic" w:hint="cs"/>
          <w:b/>
          <w:bCs/>
          <w:sz w:val="28"/>
          <w:szCs w:val="28"/>
          <w:rtl/>
        </w:rPr>
        <w:t>الحماية الإجتماعية:</w:t>
      </w:r>
    </w:p>
    <w:p w14:paraId="6EBF7A9C" w14:textId="77777777" w:rsidR="00EB347D" w:rsidRDefault="00EB347D" w:rsidP="00F24B68">
      <w:pPr>
        <w:pStyle w:val="ListParagraph"/>
        <w:bidi/>
        <w:ind w:left="450"/>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مع إعترافه بمستويات الفقر والهشاشة وتداعيات الحرب على الأسر والمجتمعات المحلية ، فإنه ي</w:t>
      </w:r>
      <w:r w:rsidR="001340F7">
        <w:rPr>
          <w:rFonts w:ascii="Simplified Arabic" w:hAnsi="Simplified Arabic" w:cs="Simplified Arabic" w:hint="cs"/>
          <w:sz w:val="28"/>
          <w:szCs w:val="28"/>
          <w:rtl/>
        </w:rPr>
        <w:t>تباهى برصد مبلغ 45807 مليار ل.ل</w:t>
      </w:r>
      <w:r>
        <w:rPr>
          <w:rFonts w:ascii="Simplified Arabic" w:hAnsi="Simplified Arabic" w:cs="Simplified Arabic" w:hint="cs"/>
          <w:sz w:val="28"/>
          <w:szCs w:val="28"/>
          <w:rtl/>
        </w:rPr>
        <w:t xml:space="preserve"> ما يعادل 512 ملين دولار فقط وهي تشكل 7% من إجمالي الموازنة في حين </w:t>
      </w:r>
      <w:r w:rsidR="00341C03">
        <w:rPr>
          <w:rFonts w:ascii="Simplified Arabic" w:hAnsi="Simplified Arabic" w:cs="Simplified Arabic" w:hint="cs"/>
          <w:sz w:val="28"/>
          <w:szCs w:val="28"/>
          <w:rtl/>
        </w:rPr>
        <w:t>خ</w:t>
      </w:r>
      <w:r w:rsidR="00F24B68">
        <w:rPr>
          <w:rFonts w:ascii="Simplified Arabic" w:hAnsi="Simplified Arabic" w:cs="Simplified Arabic" w:hint="cs"/>
          <w:sz w:val="28"/>
          <w:szCs w:val="28"/>
          <w:rtl/>
        </w:rPr>
        <w:t>صص</w:t>
      </w:r>
      <w:r w:rsidR="00341C03">
        <w:rPr>
          <w:rFonts w:ascii="Simplified Arabic" w:hAnsi="Simplified Arabic" w:cs="Simplified Arabic" w:hint="cs"/>
          <w:sz w:val="28"/>
          <w:szCs w:val="28"/>
          <w:rtl/>
        </w:rPr>
        <w:t xml:space="preserve"> لفوائد الدين العام 15482 ما يعادل 173 مليون دولار وبشكل 2.5% ، وتجدر الإشارة الى </w:t>
      </w:r>
      <w:r w:rsidR="00F24B68">
        <w:rPr>
          <w:rFonts w:ascii="Simplified Arabic" w:hAnsi="Simplified Arabic" w:cs="Simplified Arabic" w:hint="cs"/>
          <w:sz w:val="28"/>
          <w:szCs w:val="28"/>
          <w:rtl/>
        </w:rPr>
        <w:t xml:space="preserve">أن </w:t>
      </w:r>
      <w:r w:rsidR="00341C03">
        <w:rPr>
          <w:rFonts w:ascii="Simplified Arabic" w:hAnsi="Simplified Arabic" w:cs="Simplified Arabic" w:hint="cs"/>
          <w:sz w:val="28"/>
          <w:szCs w:val="28"/>
          <w:rtl/>
        </w:rPr>
        <w:t>مخصصات الضمان الإجتماعي ه</w:t>
      </w:r>
      <w:r w:rsidR="00F24B68">
        <w:rPr>
          <w:rFonts w:ascii="Simplified Arabic" w:hAnsi="Simplified Arabic" w:cs="Simplified Arabic" w:hint="cs"/>
          <w:sz w:val="28"/>
          <w:szCs w:val="28"/>
          <w:rtl/>
        </w:rPr>
        <w:t>ي</w:t>
      </w:r>
      <w:r w:rsidR="00341C03">
        <w:rPr>
          <w:rFonts w:ascii="Simplified Arabic" w:hAnsi="Simplified Arabic" w:cs="Simplified Arabic" w:hint="cs"/>
          <w:sz w:val="28"/>
          <w:szCs w:val="28"/>
          <w:rtl/>
        </w:rPr>
        <w:t xml:space="preserve"> إشتراكات متوجبة على الدولة للضمان عن </w:t>
      </w:r>
      <w:r w:rsidR="00F24B68">
        <w:rPr>
          <w:rFonts w:ascii="Simplified Arabic" w:hAnsi="Simplified Arabic" w:cs="Simplified Arabic" w:hint="cs"/>
          <w:sz w:val="28"/>
          <w:szCs w:val="28"/>
          <w:rtl/>
        </w:rPr>
        <w:t>أ</w:t>
      </w:r>
      <w:r w:rsidR="00341C03">
        <w:rPr>
          <w:rFonts w:ascii="Simplified Arabic" w:hAnsi="Simplified Arabic" w:cs="Simplified Arabic" w:hint="cs"/>
          <w:sz w:val="28"/>
          <w:szCs w:val="28"/>
          <w:rtl/>
        </w:rPr>
        <w:t>جرائها .</w:t>
      </w:r>
    </w:p>
    <w:p w14:paraId="42CF9D4C" w14:textId="77777777" w:rsidR="00341C03" w:rsidRDefault="00341C03" w:rsidP="00341C03">
      <w:pPr>
        <w:pStyle w:val="ListParagraph"/>
        <w:bidi/>
        <w:ind w:left="450"/>
        <w:jc w:val="both"/>
        <w:rPr>
          <w:rFonts w:ascii="Simplified Arabic" w:hAnsi="Simplified Arabic" w:cs="Simplified Arabic"/>
          <w:sz w:val="28"/>
          <w:szCs w:val="28"/>
          <w:rtl/>
        </w:rPr>
      </w:pPr>
      <w:r>
        <w:rPr>
          <w:rFonts w:ascii="Simplified Arabic" w:hAnsi="Simplified Arabic" w:cs="Simplified Arabic" w:hint="cs"/>
          <w:sz w:val="28"/>
          <w:szCs w:val="28"/>
          <w:rtl/>
        </w:rPr>
        <w:t>وهنا لا بد من الإشارة الى أن</w:t>
      </w:r>
      <w:r w:rsidRPr="008644FE">
        <w:rPr>
          <w:rFonts w:ascii="Simplified Arabic" w:hAnsi="Simplified Arabic" w:cs="Simplified Arabic" w:hint="cs"/>
          <w:b/>
          <w:bCs/>
          <w:sz w:val="28"/>
          <w:szCs w:val="28"/>
          <w:rtl/>
        </w:rPr>
        <w:t xml:space="preserve"> 72% من الأسر في لبنان أصبحت فقيرة </w:t>
      </w:r>
      <w:r>
        <w:rPr>
          <w:rFonts w:ascii="Simplified Arabic" w:hAnsi="Simplified Arabic" w:cs="Simplified Arabic" w:hint="cs"/>
          <w:sz w:val="28"/>
          <w:szCs w:val="28"/>
          <w:rtl/>
        </w:rPr>
        <w:t>وفي خط الفقر المتعدد الأبعاد ، وكذلك لا بد التذكير بأن الدولة لم تقم بواجباتها</w:t>
      </w:r>
      <w:r w:rsidR="008C2F3E">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تجاه النازحين من بيوتهم جراء العدوان الإسرائيلي إلا فقط تجاه حوالي 10% من إ</w:t>
      </w:r>
      <w:r w:rsidR="008644FE">
        <w:rPr>
          <w:rFonts w:ascii="Simplified Arabic" w:hAnsi="Simplified Arabic" w:cs="Simplified Arabic" w:hint="cs"/>
          <w:sz w:val="28"/>
          <w:szCs w:val="28"/>
          <w:rtl/>
        </w:rPr>
        <w:t>ج</w:t>
      </w:r>
      <w:r>
        <w:rPr>
          <w:rFonts w:ascii="Simplified Arabic" w:hAnsi="Simplified Arabic" w:cs="Simplified Arabic" w:hint="cs"/>
          <w:sz w:val="28"/>
          <w:szCs w:val="28"/>
          <w:rtl/>
        </w:rPr>
        <w:t>مالي النازحين وتركت الباقي في العراء والشوارع.</w:t>
      </w:r>
    </w:p>
    <w:p w14:paraId="31D2325E" w14:textId="77777777" w:rsidR="00D7156D" w:rsidRPr="008644FE" w:rsidRDefault="00D7156D" w:rsidP="00D7156D">
      <w:pPr>
        <w:pStyle w:val="ListParagraph"/>
        <w:numPr>
          <w:ilvl w:val="0"/>
          <w:numId w:val="4"/>
        </w:numPr>
        <w:bidi/>
        <w:jc w:val="both"/>
        <w:rPr>
          <w:rFonts w:ascii="Simplified Arabic" w:hAnsi="Simplified Arabic" w:cs="Simplified Arabic"/>
          <w:b/>
          <w:bCs/>
          <w:sz w:val="28"/>
          <w:szCs w:val="28"/>
        </w:rPr>
      </w:pPr>
      <w:r w:rsidRPr="008644FE">
        <w:rPr>
          <w:rFonts w:ascii="Simplified Arabic" w:hAnsi="Simplified Arabic" w:cs="Simplified Arabic" w:hint="cs"/>
          <w:b/>
          <w:bCs/>
          <w:sz w:val="28"/>
          <w:szCs w:val="28"/>
          <w:rtl/>
        </w:rPr>
        <w:t>إعادة الترميم جراء الحرب:</w:t>
      </w:r>
    </w:p>
    <w:p w14:paraId="67E31E1B" w14:textId="77777777" w:rsidR="00D7156D" w:rsidRDefault="008644FE" w:rsidP="008644FE">
      <w:pPr>
        <w:pStyle w:val="ListParagraph"/>
        <w:bidi/>
        <w:ind w:left="45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جاء في تقرير وزير المالية </w:t>
      </w:r>
      <w:r w:rsidR="00D7156D">
        <w:rPr>
          <w:rFonts w:ascii="Simplified Arabic" w:hAnsi="Simplified Arabic" w:cs="Simplified Arabic" w:hint="cs"/>
          <w:sz w:val="28"/>
          <w:szCs w:val="28"/>
          <w:rtl/>
        </w:rPr>
        <w:t xml:space="preserve">تخصيص موارد هادفة لأعمال الإصلاح والترميم وإعادة التأهيل عبر مجلس الجنوب والهيئة العليا للإغاثة بانتظار بدء الصرف من مشروع قرض البنك الدولي لإعادة الأعمار </w:t>
      </w:r>
      <w:r w:rsidR="00D7156D">
        <w:rPr>
          <w:rFonts w:ascii="Simplified Arabic" w:hAnsi="Simplified Arabic" w:cs="Simplified Arabic"/>
          <w:sz w:val="28"/>
          <w:szCs w:val="28"/>
        </w:rPr>
        <w:t>LEAP</w:t>
      </w:r>
      <w:r w:rsidR="00D7156D">
        <w:rPr>
          <w:rFonts w:ascii="Simplified Arabic" w:hAnsi="Simplified Arabic" w:cs="Simplified Arabic" w:hint="cs"/>
          <w:sz w:val="28"/>
          <w:szCs w:val="28"/>
          <w:rtl/>
        </w:rPr>
        <w:t>.</w:t>
      </w:r>
    </w:p>
    <w:p w14:paraId="0F06E979" w14:textId="77777777" w:rsidR="00D7156D" w:rsidRDefault="00D7156D" w:rsidP="001340F7">
      <w:pPr>
        <w:pStyle w:val="ListParagraph"/>
        <w:bidi/>
        <w:ind w:left="45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لم يذكر التقرير حجم الموارد ولا حجم القرض ، علماً بأن القرض لم يذكر في </w:t>
      </w:r>
      <w:r w:rsidR="001340F7">
        <w:rPr>
          <w:rFonts w:ascii="Simplified Arabic" w:hAnsi="Simplified Arabic" w:cs="Simplified Arabic" w:hint="cs"/>
          <w:sz w:val="28"/>
          <w:szCs w:val="28"/>
          <w:rtl/>
        </w:rPr>
        <w:t>م</w:t>
      </w:r>
      <w:r>
        <w:rPr>
          <w:rFonts w:ascii="Simplified Arabic" w:hAnsi="Simplified Arabic" w:cs="Simplified Arabic" w:hint="cs"/>
          <w:sz w:val="28"/>
          <w:szCs w:val="28"/>
          <w:rtl/>
        </w:rPr>
        <w:t>وازنة 2027 خلاصاً للأصول القانونية ... هل يخجلون أم يخافون من تخصيص الإعتمادات ال</w:t>
      </w:r>
      <w:r w:rsidR="001340F7">
        <w:rPr>
          <w:rFonts w:ascii="Simplified Arabic" w:hAnsi="Simplified Arabic" w:cs="Simplified Arabic" w:hint="cs"/>
          <w:sz w:val="28"/>
          <w:szCs w:val="28"/>
          <w:rtl/>
        </w:rPr>
        <w:t>ل</w:t>
      </w:r>
      <w:r>
        <w:rPr>
          <w:rFonts w:ascii="Simplified Arabic" w:hAnsi="Simplified Arabic" w:cs="Simplified Arabic" w:hint="cs"/>
          <w:sz w:val="28"/>
          <w:szCs w:val="28"/>
          <w:rtl/>
        </w:rPr>
        <w:t>ازمة والكافية لإعادة إعمار الجنوب بعد تدميره من العدو الإسرائيلي.</w:t>
      </w:r>
    </w:p>
    <w:p w14:paraId="17377D82" w14:textId="77777777" w:rsidR="008644FE" w:rsidRDefault="003A4401" w:rsidP="008644FE">
      <w:pPr>
        <w:pStyle w:val="ListParagraph"/>
        <w:bidi/>
        <w:ind w:left="450"/>
        <w:jc w:val="both"/>
        <w:rPr>
          <w:rFonts w:ascii="Simplified Arabic" w:hAnsi="Simplified Arabic" w:cs="Simplified Arabic"/>
          <w:sz w:val="28"/>
          <w:szCs w:val="28"/>
          <w:rtl/>
        </w:rPr>
      </w:pPr>
      <w:r>
        <w:rPr>
          <w:rFonts w:ascii="Simplified Arabic" w:hAnsi="Simplified Arabic" w:cs="Simplified Arabic" w:hint="cs"/>
          <w:sz w:val="28"/>
          <w:szCs w:val="28"/>
          <w:rtl/>
        </w:rPr>
        <w:t>لقد اكتفى وزير المالية بتخصيص مبلغ 7000 مليار ل.ل ما يعادل  78 مليون دولار لمساعدة المتضررين جراء العدوان الصهيوني على الجنوب وذلك في موازنتي مجلس الجنوب (40</w:t>
      </w:r>
      <w:r w:rsidR="007B032A">
        <w:rPr>
          <w:rFonts w:ascii="Simplified Arabic" w:hAnsi="Simplified Arabic" w:cs="Simplified Arabic" w:hint="cs"/>
          <w:sz w:val="28"/>
          <w:szCs w:val="28"/>
          <w:rtl/>
        </w:rPr>
        <w:t>0</w:t>
      </w:r>
      <w:r>
        <w:rPr>
          <w:rFonts w:ascii="Simplified Arabic" w:hAnsi="Simplified Arabic" w:cs="Simplified Arabic" w:hint="cs"/>
          <w:sz w:val="28"/>
          <w:szCs w:val="28"/>
          <w:rtl/>
        </w:rPr>
        <w:t>0 مليار</w:t>
      </w:r>
      <w:r w:rsidR="00B81F0F">
        <w:rPr>
          <w:rFonts w:ascii="Simplified Arabic" w:hAnsi="Simplified Arabic" w:cs="Simplified Arabic" w:hint="cs"/>
          <w:sz w:val="28"/>
          <w:szCs w:val="28"/>
          <w:rtl/>
        </w:rPr>
        <w:t>) والهيئة العليا للإغاثة (2500 مليار) وبنسبة 1.138% منإجمالي نفقات الموازنة.</w:t>
      </w:r>
    </w:p>
    <w:p w14:paraId="46D6A0B2" w14:textId="77777777" w:rsidR="00D7156D" w:rsidRPr="00B81F0F" w:rsidRDefault="00D7156D" w:rsidP="00D7156D">
      <w:pPr>
        <w:pStyle w:val="ListParagraph"/>
        <w:numPr>
          <w:ilvl w:val="0"/>
          <w:numId w:val="4"/>
        </w:numPr>
        <w:bidi/>
        <w:jc w:val="both"/>
        <w:rPr>
          <w:rFonts w:ascii="Simplified Arabic" w:hAnsi="Simplified Arabic" w:cs="Simplified Arabic"/>
          <w:b/>
          <w:bCs/>
          <w:sz w:val="28"/>
          <w:szCs w:val="28"/>
        </w:rPr>
      </w:pPr>
      <w:r w:rsidRPr="00B81F0F">
        <w:rPr>
          <w:rFonts w:ascii="Simplified Arabic" w:hAnsi="Simplified Arabic" w:cs="Simplified Arabic" w:hint="cs"/>
          <w:b/>
          <w:bCs/>
          <w:sz w:val="28"/>
          <w:szCs w:val="28"/>
          <w:rtl/>
        </w:rPr>
        <w:t>الإنفاق الإستثماري:</w:t>
      </w:r>
    </w:p>
    <w:p w14:paraId="32DF968B" w14:textId="77777777" w:rsidR="00D7156D" w:rsidRDefault="00BD1170" w:rsidP="00D7156D">
      <w:pPr>
        <w:pStyle w:val="ListParagraph"/>
        <w:bidi/>
        <w:ind w:left="90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تحدث التقرير عن </w:t>
      </w:r>
      <w:r w:rsidRPr="00B81F0F">
        <w:rPr>
          <w:rFonts w:ascii="Simplified Arabic" w:hAnsi="Simplified Arabic" w:cs="Simplified Arabic" w:hint="cs"/>
          <w:b/>
          <w:bCs/>
          <w:sz w:val="28"/>
          <w:szCs w:val="28"/>
          <w:rtl/>
        </w:rPr>
        <w:t>الرفع التدريجي</w:t>
      </w:r>
      <w:r>
        <w:rPr>
          <w:rFonts w:ascii="Simplified Arabic" w:hAnsi="Simplified Arabic" w:cs="Simplified Arabic" w:hint="cs"/>
          <w:sz w:val="28"/>
          <w:szCs w:val="28"/>
          <w:rtl/>
        </w:rPr>
        <w:t xml:space="preserve"> للنفقات الإستثمارية وتوجيه الإستثمارات العامة نحو مشاريع قادرة على دعم النمو وتحسين الإنتاجية وتعزيز البنية التحتية والخدمات الأساسية . لكن التقرير لم يذكر المشاريع المذكورة بالإضافة الى أن مشروع الموازنة لم يتضمن جدولاً بالنفقات الحقيقية خلال السنوات السابقة لمعرفة حجم الإنفاق الإستثماري الحقيقي، أما لجهة زيادة الإنفاق </w:t>
      </w:r>
      <w:r w:rsidR="00504301">
        <w:rPr>
          <w:rFonts w:ascii="Simplified Arabic" w:hAnsi="Simplified Arabic" w:cs="Simplified Arabic" w:hint="cs"/>
          <w:sz w:val="28"/>
          <w:szCs w:val="28"/>
          <w:rtl/>
        </w:rPr>
        <w:t>الإستثماري فهذا أمر غير صحيح ذلك أن نسبة هذا الإنفاق من الموازنة كان على التوالي 10%، 12%و11% في السنوات 2024 و2025 و2026 وهو في مشروع موازنة 2027 بلغ 11% فقط.</w:t>
      </w:r>
    </w:p>
    <w:p w14:paraId="469F3015" w14:textId="77777777" w:rsidR="00504301" w:rsidRDefault="00504301" w:rsidP="00504301">
      <w:pPr>
        <w:pStyle w:val="ListParagraph"/>
        <w:numPr>
          <w:ilvl w:val="0"/>
          <w:numId w:val="4"/>
        </w:numPr>
        <w:bidi/>
        <w:jc w:val="both"/>
        <w:rPr>
          <w:rFonts w:ascii="Simplified Arabic" w:hAnsi="Simplified Arabic" w:cs="Simplified Arabic"/>
          <w:sz w:val="28"/>
          <w:szCs w:val="28"/>
        </w:rPr>
      </w:pPr>
      <w:r w:rsidRPr="00B81F0F">
        <w:rPr>
          <w:rFonts w:ascii="Simplified Arabic" w:hAnsi="Simplified Arabic" w:cs="Simplified Arabic" w:hint="cs"/>
          <w:b/>
          <w:bCs/>
          <w:sz w:val="28"/>
          <w:szCs w:val="28"/>
          <w:rtl/>
        </w:rPr>
        <w:t>تسوية المستحقات المتراكمة</w:t>
      </w:r>
      <w:r>
        <w:rPr>
          <w:rFonts w:ascii="Simplified Arabic" w:hAnsi="Simplified Arabic" w:cs="Simplified Arabic" w:hint="cs"/>
          <w:sz w:val="28"/>
          <w:szCs w:val="28"/>
          <w:rtl/>
        </w:rPr>
        <w:t>:</w:t>
      </w:r>
    </w:p>
    <w:p w14:paraId="64046A72" w14:textId="77777777" w:rsidR="00504301" w:rsidRDefault="00504301" w:rsidP="00B81F0F">
      <w:pPr>
        <w:pStyle w:val="ListParagraph"/>
        <w:bidi/>
        <w:ind w:left="900"/>
        <w:jc w:val="both"/>
        <w:rPr>
          <w:rFonts w:ascii="Simplified Arabic" w:hAnsi="Simplified Arabic" w:cs="Simplified Arabic"/>
          <w:sz w:val="28"/>
          <w:szCs w:val="28"/>
        </w:rPr>
      </w:pPr>
      <w:r>
        <w:rPr>
          <w:rFonts w:ascii="Simplified Arabic" w:hAnsi="Simplified Arabic" w:cs="Simplified Arabic" w:hint="cs"/>
          <w:sz w:val="28"/>
          <w:szCs w:val="28"/>
          <w:rtl/>
        </w:rPr>
        <w:lastRenderedPageBreak/>
        <w:t>تحدث التقرير عن تسديد المستحقات المتأخر</w:t>
      </w:r>
      <w:r w:rsidR="001340F7">
        <w:rPr>
          <w:rFonts w:ascii="Simplified Arabic" w:hAnsi="Simplified Arabic" w:cs="Simplified Arabic" w:hint="cs"/>
          <w:sz w:val="28"/>
          <w:szCs w:val="28"/>
          <w:rtl/>
        </w:rPr>
        <w:t>ة لمؤسسة كهرباء لبنان والضمان الإ</w:t>
      </w:r>
      <w:r>
        <w:rPr>
          <w:rFonts w:ascii="Simplified Arabic" w:hAnsi="Simplified Arabic" w:cs="Simplified Arabic" w:hint="cs"/>
          <w:sz w:val="28"/>
          <w:szCs w:val="28"/>
          <w:rtl/>
        </w:rPr>
        <w:t>جتماعي وغيرها ... وهذا يعني أن الموازنات السابقة كانت مخالفة لمبدأ الشمول إذ أنها لم تكن تشمل جميع النفقات المستحقة على الدولة.</w:t>
      </w:r>
    </w:p>
    <w:p w14:paraId="187488EF" w14:textId="77777777" w:rsidR="00504301" w:rsidRDefault="00504301" w:rsidP="00B81F0F">
      <w:pPr>
        <w:pStyle w:val="ListParagraph"/>
        <w:bidi/>
        <w:ind w:left="900"/>
        <w:jc w:val="both"/>
        <w:rPr>
          <w:rFonts w:ascii="Simplified Arabic" w:hAnsi="Simplified Arabic" w:cs="Simplified Arabic"/>
          <w:sz w:val="28"/>
          <w:szCs w:val="28"/>
        </w:rPr>
      </w:pPr>
      <w:r>
        <w:rPr>
          <w:rFonts w:ascii="Simplified Arabic" w:hAnsi="Simplified Arabic" w:cs="Simplified Arabic" w:hint="cs"/>
          <w:sz w:val="28"/>
          <w:szCs w:val="28"/>
          <w:rtl/>
        </w:rPr>
        <w:t>أما بالنسبة الى مؤسسة كهرباء لبنان فإننا نسأل الى متى تبقى أزمة الكهرباء ؟ وكيف ستحل أزمة سلفات الخزينة المسلفة الى المؤسسة منذ العام 1982 ولغاية تاريخه ؟</w:t>
      </w:r>
    </w:p>
    <w:p w14:paraId="49B5F36B" w14:textId="77777777" w:rsidR="00504301" w:rsidRPr="00B81F0F" w:rsidRDefault="00504301" w:rsidP="00504301">
      <w:pPr>
        <w:pStyle w:val="ListParagraph"/>
        <w:numPr>
          <w:ilvl w:val="0"/>
          <w:numId w:val="4"/>
        </w:numPr>
        <w:bidi/>
        <w:jc w:val="both"/>
        <w:rPr>
          <w:rFonts w:ascii="Simplified Arabic" w:hAnsi="Simplified Arabic" w:cs="Simplified Arabic"/>
          <w:b/>
          <w:bCs/>
          <w:sz w:val="28"/>
          <w:szCs w:val="28"/>
        </w:rPr>
      </w:pPr>
      <w:r w:rsidRPr="00B81F0F">
        <w:rPr>
          <w:rFonts w:ascii="Simplified Arabic" w:hAnsi="Simplified Arabic" w:cs="Simplified Arabic" w:hint="cs"/>
          <w:b/>
          <w:bCs/>
          <w:sz w:val="28"/>
          <w:szCs w:val="28"/>
          <w:rtl/>
        </w:rPr>
        <w:t>الأجور والرواتب في القطاع العام:</w:t>
      </w:r>
    </w:p>
    <w:p w14:paraId="64482B5B" w14:textId="77777777" w:rsidR="00504301" w:rsidRDefault="00504301" w:rsidP="008144FB">
      <w:pPr>
        <w:pStyle w:val="ListParagraph"/>
        <w:bidi/>
        <w:ind w:left="900"/>
        <w:jc w:val="both"/>
        <w:rPr>
          <w:rFonts w:ascii="Simplified Arabic" w:hAnsi="Simplified Arabic" w:cs="Simplified Arabic"/>
          <w:sz w:val="28"/>
          <w:szCs w:val="28"/>
          <w:rtl/>
        </w:rPr>
      </w:pPr>
      <w:r>
        <w:rPr>
          <w:rFonts w:ascii="Simplified Arabic" w:hAnsi="Simplified Arabic" w:cs="Simplified Arabic" w:hint="cs"/>
          <w:sz w:val="28"/>
          <w:szCs w:val="28"/>
          <w:rtl/>
        </w:rPr>
        <w:t>وفقاً لتقرير وزير المالية فإن موازنة 2027 ستعكس الأثر الكامل لحزمة التعويضات وزيادة الرواتب</w:t>
      </w:r>
      <w:r w:rsidR="00BE7AEE">
        <w:rPr>
          <w:rFonts w:ascii="Simplified Arabic" w:hAnsi="Simplified Arabic" w:cs="Simplified Arabic" w:hint="cs"/>
          <w:sz w:val="28"/>
          <w:szCs w:val="28"/>
          <w:rtl/>
        </w:rPr>
        <w:t xml:space="preserve"> </w:t>
      </w:r>
      <w:r w:rsidR="004519FF">
        <w:rPr>
          <w:rFonts w:ascii="Simplified Arabic" w:hAnsi="Simplified Arabic" w:cs="Simplified Arabic" w:hint="cs"/>
          <w:sz w:val="28"/>
          <w:szCs w:val="28"/>
          <w:rtl/>
        </w:rPr>
        <w:t xml:space="preserve">التي أقرت مؤخراً (شباط 2025) ، وهذا الأمر غير </w:t>
      </w:r>
      <w:r w:rsidR="008144FB">
        <w:rPr>
          <w:rFonts w:ascii="Simplified Arabic" w:hAnsi="Simplified Arabic" w:cs="Simplified Arabic" w:hint="cs"/>
          <w:sz w:val="28"/>
          <w:szCs w:val="28"/>
          <w:rtl/>
        </w:rPr>
        <w:t>كاف</w:t>
      </w:r>
      <w:r w:rsidR="004519FF">
        <w:rPr>
          <w:rFonts w:ascii="Simplified Arabic" w:hAnsi="Simplified Arabic" w:cs="Simplified Arabic" w:hint="cs"/>
          <w:sz w:val="28"/>
          <w:szCs w:val="28"/>
          <w:rtl/>
        </w:rPr>
        <w:t xml:space="preserve"> والدليل حراك المتقاعدين يوم الأربعاء في 9 أيلول 2026 وما يليه.</w:t>
      </w:r>
    </w:p>
    <w:p w14:paraId="3FB439F2" w14:textId="77777777" w:rsidR="004519FF" w:rsidRDefault="004519FF" w:rsidP="004519FF">
      <w:pPr>
        <w:pStyle w:val="ListParagraph"/>
        <w:bidi/>
        <w:ind w:left="900"/>
        <w:jc w:val="both"/>
        <w:rPr>
          <w:rFonts w:ascii="Simplified Arabic" w:hAnsi="Simplified Arabic" w:cs="Simplified Arabic"/>
          <w:sz w:val="28"/>
          <w:szCs w:val="28"/>
          <w:rtl/>
        </w:rPr>
      </w:pPr>
      <w:r>
        <w:rPr>
          <w:rFonts w:ascii="Simplified Arabic" w:hAnsi="Simplified Arabic" w:cs="Simplified Arabic" w:hint="cs"/>
          <w:sz w:val="28"/>
          <w:szCs w:val="28"/>
          <w:rtl/>
        </w:rPr>
        <w:t>تحدث التقرير عن إرتفاع كلفة الأجور والرواتب الى 8.61% من الناتج المحلي الإجمالي ، وحوالي 53.54% من موازنة العام 2027 . ويؤكد</w:t>
      </w:r>
      <w:r w:rsidR="001340F7">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التقرير على </w:t>
      </w:r>
      <w:r w:rsidRPr="008144FB">
        <w:rPr>
          <w:rFonts w:ascii="Simplified Arabic" w:hAnsi="Simplified Arabic" w:cs="Simplified Arabic" w:hint="cs"/>
          <w:b/>
          <w:bCs/>
          <w:sz w:val="28"/>
          <w:szCs w:val="28"/>
          <w:rtl/>
        </w:rPr>
        <w:t>ضرورة الإبقاء على كلفة ال</w:t>
      </w:r>
      <w:r w:rsidR="001340F7" w:rsidRPr="008144FB">
        <w:rPr>
          <w:rFonts w:ascii="Simplified Arabic" w:hAnsi="Simplified Arabic" w:cs="Simplified Arabic" w:hint="cs"/>
          <w:b/>
          <w:bCs/>
          <w:sz w:val="28"/>
          <w:szCs w:val="28"/>
          <w:rtl/>
        </w:rPr>
        <w:t>أ</w:t>
      </w:r>
      <w:r w:rsidRPr="008144FB">
        <w:rPr>
          <w:rFonts w:ascii="Simplified Arabic" w:hAnsi="Simplified Arabic" w:cs="Simplified Arabic" w:hint="cs"/>
          <w:b/>
          <w:bCs/>
          <w:sz w:val="28"/>
          <w:szCs w:val="28"/>
          <w:rtl/>
        </w:rPr>
        <w:t>جور ضمن</w:t>
      </w:r>
      <w:r>
        <w:rPr>
          <w:rFonts w:ascii="Simplified Arabic" w:hAnsi="Simplified Arabic" w:cs="Simplified Arabic" w:hint="cs"/>
          <w:sz w:val="28"/>
          <w:szCs w:val="28"/>
          <w:rtl/>
        </w:rPr>
        <w:t xml:space="preserve"> </w:t>
      </w:r>
      <w:r w:rsidRPr="008144FB">
        <w:rPr>
          <w:rFonts w:ascii="Simplified Arabic" w:hAnsi="Simplified Arabic" w:cs="Simplified Arabic" w:hint="cs"/>
          <w:b/>
          <w:bCs/>
          <w:sz w:val="28"/>
          <w:szCs w:val="28"/>
          <w:rtl/>
        </w:rPr>
        <w:t>حدود قابلة للإستدامة</w:t>
      </w:r>
      <w:r>
        <w:rPr>
          <w:rFonts w:ascii="Simplified Arabic" w:hAnsi="Simplified Arabic" w:cs="Simplified Arabic" w:hint="cs"/>
          <w:sz w:val="28"/>
          <w:szCs w:val="28"/>
          <w:rtl/>
        </w:rPr>
        <w:t xml:space="preserve"> على الرغم من اعترافه بالتأكل الكبير الذي أصاب القدرة الشرائية للعاملين في القطاع العام.</w:t>
      </w:r>
    </w:p>
    <w:p w14:paraId="001FC45F" w14:textId="77777777" w:rsidR="004519FF" w:rsidRDefault="004519FF" w:rsidP="001340F7">
      <w:pPr>
        <w:pStyle w:val="ListParagraph"/>
        <w:bidi/>
        <w:ind w:left="90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من الضروري </w:t>
      </w:r>
      <w:r w:rsidRPr="008144FB">
        <w:rPr>
          <w:rFonts w:ascii="Simplified Arabic" w:hAnsi="Simplified Arabic" w:cs="Simplified Arabic" w:hint="cs"/>
          <w:b/>
          <w:bCs/>
          <w:sz w:val="28"/>
          <w:szCs w:val="28"/>
          <w:rtl/>
        </w:rPr>
        <w:t>تذكير</w:t>
      </w:r>
      <w:r>
        <w:rPr>
          <w:rFonts w:ascii="Simplified Arabic" w:hAnsi="Simplified Arabic" w:cs="Simplified Arabic" w:hint="cs"/>
          <w:sz w:val="28"/>
          <w:szCs w:val="28"/>
          <w:rtl/>
        </w:rPr>
        <w:t xml:space="preserve"> </w:t>
      </w:r>
      <w:r w:rsidRPr="008144FB">
        <w:rPr>
          <w:rFonts w:ascii="Simplified Arabic" w:hAnsi="Simplified Arabic" w:cs="Simplified Arabic" w:hint="cs"/>
          <w:b/>
          <w:bCs/>
          <w:sz w:val="28"/>
          <w:szCs w:val="28"/>
          <w:rtl/>
        </w:rPr>
        <w:t>معالي الوزير</w:t>
      </w:r>
      <w:r>
        <w:rPr>
          <w:rFonts w:ascii="Simplified Arabic" w:hAnsi="Simplified Arabic" w:cs="Simplified Arabic" w:hint="cs"/>
          <w:sz w:val="28"/>
          <w:szCs w:val="28"/>
          <w:rtl/>
        </w:rPr>
        <w:t xml:space="preserve"> بأن كلفة رواتب القطاع العام</w:t>
      </w:r>
      <w:r w:rsidR="001340F7">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في موازنة العام 2027 لا تتجاوز نسبة 58% عما كانت عليه في موازنة العام 2019 سنة ا</w:t>
      </w:r>
      <w:r w:rsidR="001340F7">
        <w:rPr>
          <w:rFonts w:ascii="Simplified Arabic" w:hAnsi="Simplified Arabic" w:cs="Simplified Arabic" w:hint="cs"/>
          <w:sz w:val="28"/>
          <w:szCs w:val="28"/>
          <w:rtl/>
        </w:rPr>
        <w:t>لإ</w:t>
      </w:r>
      <w:r>
        <w:rPr>
          <w:rFonts w:ascii="Simplified Arabic" w:hAnsi="Simplified Arabic" w:cs="Simplified Arabic" w:hint="cs"/>
          <w:sz w:val="28"/>
          <w:szCs w:val="28"/>
          <w:rtl/>
        </w:rPr>
        <w:t xml:space="preserve">نهيار ، وأنه لا بد من إعادة الأجور الى قيمتها الحقيقية التي تتمثل بقيمتها </w:t>
      </w:r>
      <w:r w:rsidR="008144FB">
        <w:rPr>
          <w:rFonts w:ascii="Simplified Arabic" w:hAnsi="Simplified Arabic" w:cs="Simplified Arabic" w:hint="cs"/>
          <w:sz w:val="28"/>
          <w:szCs w:val="28"/>
          <w:rtl/>
        </w:rPr>
        <w:t xml:space="preserve">بالدولار في 17/10/2019 مضافاً إليها تصحيحاً للأجور يعادل نسبة التضخم </w:t>
      </w:r>
      <w:r>
        <w:rPr>
          <w:rFonts w:ascii="Simplified Arabic" w:hAnsi="Simplified Arabic" w:cs="Simplified Arabic" w:hint="cs"/>
          <w:sz w:val="28"/>
          <w:szCs w:val="28"/>
          <w:rtl/>
        </w:rPr>
        <w:t xml:space="preserve">التي تجاوزت الـ 220% ، وعلى الحكومة تأمين </w:t>
      </w:r>
      <w:r w:rsidR="008144FB">
        <w:rPr>
          <w:rFonts w:ascii="Simplified Arabic" w:hAnsi="Simplified Arabic" w:cs="Simplified Arabic" w:hint="cs"/>
          <w:sz w:val="28"/>
          <w:szCs w:val="28"/>
          <w:rtl/>
        </w:rPr>
        <w:t>ال</w:t>
      </w:r>
      <w:r>
        <w:rPr>
          <w:rFonts w:ascii="Simplified Arabic" w:hAnsi="Simplified Arabic" w:cs="Simplified Arabic" w:hint="cs"/>
          <w:sz w:val="28"/>
          <w:szCs w:val="28"/>
          <w:rtl/>
        </w:rPr>
        <w:t>تمويل اللازم لذلك ، فليس من العدل أن يتحمل الموظف وطبقة العمال وأصحاب الدخل المحدود إثم ما اقترفته السلطة الحاكمة من مفاسد في سرقة المال العام.</w:t>
      </w:r>
    </w:p>
    <w:p w14:paraId="5DBD209D" w14:textId="77777777" w:rsidR="004519FF" w:rsidRDefault="00FB6152" w:rsidP="00AA0F50">
      <w:pPr>
        <w:pStyle w:val="ListParagraph"/>
        <w:numPr>
          <w:ilvl w:val="0"/>
          <w:numId w:val="4"/>
        </w:numPr>
        <w:bidi/>
        <w:jc w:val="both"/>
        <w:rPr>
          <w:rFonts w:ascii="Simplified Arabic" w:hAnsi="Simplified Arabic" w:cs="Simplified Arabic"/>
          <w:sz w:val="28"/>
          <w:szCs w:val="28"/>
          <w:rtl/>
        </w:rPr>
      </w:pPr>
      <w:r w:rsidRPr="00D87E0B">
        <w:rPr>
          <w:rFonts w:ascii="Simplified Arabic" w:hAnsi="Simplified Arabic" w:cs="Simplified Arabic" w:hint="cs"/>
          <w:b/>
          <w:bCs/>
          <w:sz w:val="28"/>
          <w:szCs w:val="28"/>
          <w:rtl/>
        </w:rPr>
        <w:t>تعبئة الإيرادات</w:t>
      </w:r>
      <w:r>
        <w:rPr>
          <w:rFonts w:ascii="Simplified Arabic" w:hAnsi="Simplified Arabic" w:cs="Simplified Arabic" w:hint="cs"/>
          <w:sz w:val="28"/>
          <w:szCs w:val="28"/>
          <w:rtl/>
        </w:rPr>
        <w:t>:</w:t>
      </w:r>
    </w:p>
    <w:p w14:paraId="3B991867" w14:textId="77777777" w:rsidR="00D417F0" w:rsidRPr="00D417F0" w:rsidRDefault="00D417F0" w:rsidP="00D417F0">
      <w:pPr>
        <w:pStyle w:val="ListParagraph"/>
        <w:bidi/>
        <w:ind w:left="540"/>
        <w:jc w:val="both"/>
        <w:rPr>
          <w:rFonts w:ascii="Simplified Arabic" w:hAnsi="Simplified Arabic" w:cs="Simplified Arabic"/>
          <w:sz w:val="28"/>
          <w:szCs w:val="28"/>
          <w:rtl/>
        </w:rPr>
      </w:pPr>
      <w:r w:rsidRPr="00D417F0">
        <w:rPr>
          <w:rFonts w:ascii="Simplified Arabic" w:hAnsi="Simplified Arabic" w:cs="Simplified Arabic" w:hint="cs"/>
          <w:sz w:val="28"/>
          <w:szCs w:val="28"/>
          <w:rtl/>
        </w:rPr>
        <w:t>الإيرادات المقدرة للعام 2027</w:t>
      </w:r>
    </w:p>
    <w:p w14:paraId="7B4A08D2" w14:textId="77777777" w:rsidR="00D417F0" w:rsidRDefault="00D417F0" w:rsidP="00D417F0">
      <w:pPr>
        <w:pStyle w:val="ListParagraph"/>
        <w:bidi/>
        <w:ind w:left="540"/>
        <w:jc w:val="both"/>
        <w:rPr>
          <w:rFonts w:ascii="Simplified Arabic" w:hAnsi="Simplified Arabic" w:cs="Simplified Arabic"/>
          <w:sz w:val="28"/>
          <w:szCs w:val="28"/>
          <w:rtl/>
        </w:rPr>
      </w:pPr>
      <w:r>
        <w:rPr>
          <w:rFonts w:ascii="Simplified Arabic" w:hAnsi="Simplified Arabic" w:cs="Simplified Arabic" w:hint="cs"/>
          <w:sz w:val="28"/>
          <w:szCs w:val="28"/>
          <w:rtl/>
        </w:rPr>
        <w:t>وفقاً لتقرير وزير المالية فإن تقدير الإيرادات تم إستناداً الى المعطيات التالية :</w:t>
      </w:r>
    </w:p>
    <w:p w14:paraId="62416596" w14:textId="77777777" w:rsidR="00D417F0" w:rsidRDefault="00D417F0" w:rsidP="00D417F0">
      <w:pPr>
        <w:pStyle w:val="ListParagraph"/>
        <w:numPr>
          <w:ilvl w:val="0"/>
          <w:numId w:val="8"/>
        </w:numPr>
        <w:bidi/>
        <w:jc w:val="both"/>
        <w:rPr>
          <w:rFonts w:ascii="Simplified Arabic" w:hAnsi="Simplified Arabic" w:cs="Simplified Arabic"/>
          <w:sz w:val="28"/>
          <w:szCs w:val="28"/>
        </w:rPr>
      </w:pPr>
      <w:r>
        <w:rPr>
          <w:rFonts w:ascii="Simplified Arabic" w:hAnsi="Simplified Arabic" w:cs="Simplified Arabic" w:hint="cs"/>
          <w:sz w:val="28"/>
          <w:szCs w:val="28"/>
          <w:rtl/>
        </w:rPr>
        <w:t>الناتج المحلي المتوقع عام 2026 يقدر بـ 38.14 مليار د.أ</w:t>
      </w:r>
    </w:p>
    <w:p w14:paraId="01E30ABB" w14:textId="77777777" w:rsidR="00D417F0" w:rsidRDefault="00D417F0" w:rsidP="00D417F0">
      <w:pPr>
        <w:pStyle w:val="ListParagraph"/>
        <w:numPr>
          <w:ilvl w:val="0"/>
          <w:numId w:val="8"/>
        </w:numPr>
        <w:bidi/>
        <w:jc w:val="both"/>
        <w:rPr>
          <w:rFonts w:ascii="Simplified Arabic" w:hAnsi="Simplified Arabic" w:cs="Simplified Arabic"/>
          <w:sz w:val="28"/>
          <w:szCs w:val="28"/>
        </w:rPr>
      </w:pPr>
      <w:r>
        <w:rPr>
          <w:rFonts w:ascii="Simplified Arabic" w:hAnsi="Simplified Arabic" w:cs="Simplified Arabic" w:hint="cs"/>
          <w:sz w:val="28"/>
          <w:szCs w:val="28"/>
          <w:rtl/>
        </w:rPr>
        <w:t>معدل التضخم المتوقع 17%</w:t>
      </w:r>
    </w:p>
    <w:p w14:paraId="7E1F563C" w14:textId="77777777" w:rsidR="00D417F0" w:rsidRDefault="00D417F0" w:rsidP="00D417F0">
      <w:pPr>
        <w:pStyle w:val="ListParagraph"/>
        <w:numPr>
          <w:ilvl w:val="0"/>
          <w:numId w:val="8"/>
        </w:numPr>
        <w:bidi/>
        <w:jc w:val="both"/>
        <w:rPr>
          <w:rFonts w:ascii="Simplified Arabic" w:hAnsi="Simplified Arabic" w:cs="Simplified Arabic"/>
          <w:sz w:val="28"/>
          <w:szCs w:val="28"/>
        </w:rPr>
      </w:pPr>
      <w:r>
        <w:rPr>
          <w:rFonts w:ascii="Simplified Arabic" w:hAnsi="Simplified Arabic" w:cs="Simplified Arabic" w:hint="cs"/>
          <w:sz w:val="28"/>
          <w:szCs w:val="28"/>
          <w:rtl/>
        </w:rPr>
        <w:t>تحسن نسبي في إيرادات 2026 مقارنة بعام 2025</w:t>
      </w:r>
    </w:p>
    <w:p w14:paraId="133C45BF" w14:textId="77777777" w:rsidR="00D417F0" w:rsidRDefault="00D417F0" w:rsidP="00D417F0">
      <w:pPr>
        <w:pStyle w:val="ListParagraph"/>
        <w:numPr>
          <w:ilvl w:val="0"/>
          <w:numId w:val="8"/>
        </w:numPr>
        <w:bidi/>
        <w:jc w:val="both"/>
        <w:rPr>
          <w:rFonts w:ascii="Simplified Arabic" w:hAnsi="Simplified Arabic" w:cs="Simplified Arabic"/>
          <w:sz w:val="28"/>
          <w:szCs w:val="28"/>
        </w:rPr>
      </w:pPr>
      <w:r>
        <w:rPr>
          <w:rFonts w:ascii="Simplified Arabic" w:hAnsi="Simplified Arabic" w:cs="Simplified Arabic" w:hint="cs"/>
          <w:sz w:val="28"/>
          <w:szCs w:val="28"/>
          <w:rtl/>
        </w:rPr>
        <w:lastRenderedPageBreak/>
        <w:t>الناتج المحلي المتوقع عام 2027 يقدر حوالي 42.7 مليار دولار .</w:t>
      </w:r>
    </w:p>
    <w:p w14:paraId="0A4C63DE" w14:textId="77777777" w:rsidR="00D417F0" w:rsidRDefault="00D417F0" w:rsidP="00D417F0">
      <w:pPr>
        <w:pStyle w:val="ListParagraph"/>
        <w:numPr>
          <w:ilvl w:val="0"/>
          <w:numId w:val="8"/>
        </w:numPr>
        <w:bidi/>
        <w:jc w:val="both"/>
        <w:rPr>
          <w:rFonts w:ascii="Simplified Arabic" w:hAnsi="Simplified Arabic" w:cs="Simplified Arabic"/>
          <w:sz w:val="28"/>
          <w:szCs w:val="28"/>
        </w:rPr>
      </w:pPr>
      <w:r>
        <w:rPr>
          <w:rFonts w:ascii="Simplified Arabic" w:hAnsi="Simplified Arabic" w:cs="Simplified Arabic" w:hint="cs"/>
          <w:sz w:val="28"/>
          <w:szCs w:val="28"/>
          <w:rtl/>
        </w:rPr>
        <w:t>نمو حقيقي عام 2027 بنسبة 3%</w:t>
      </w:r>
    </w:p>
    <w:p w14:paraId="2F9FE6F5" w14:textId="77777777" w:rsidR="00D417F0" w:rsidRDefault="00D417F0" w:rsidP="00D417F0">
      <w:pPr>
        <w:pStyle w:val="ListParagraph"/>
        <w:numPr>
          <w:ilvl w:val="0"/>
          <w:numId w:val="8"/>
        </w:numPr>
        <w:bidi/>
        <w:jc w:val="both"/>
        <w:rPr>
          <w:rFonts w:ascii="Simplified Arabic" w:hAnsi="Simplified Arabic" w:cs="Simplified Arabic"/>
          <w:sz w:val="28"/>
          <w:szCs w:val="28"/>
        </w:rPr>
      </w:pPr>
      <w:r>
        <w:rPr>
          <w:rFonts w:ascii="Simplified Arabic" w:hAnsi="Simplified Arabic" w:cs="Simplified Arabic" w:hint="cs"/>
          <w:sz w:val="28"/>
          <w:szCs w:val="28"/>
          <w:rtl/>
        </w:rPr>
        <w:t>تضخم مقدر بحدود 10%</w:t>
      </w:r>
    </w:p>
    <w:p w14:paraId="246C1E65" w14:textId="77777777" w:rsidR="00D417F0" w:rsidRDefault="00D417F0" w:rsidP="00D417F0">
      <w:pPr>
        <w:pStyle w:val="ListParagraph"/>
        <w:bidi/>
        <w:ind w:left="900"/>
        <w:jc w:val="both"/>
        <w:rPr>
          <w:rFonts w:ascii="Simplified Arabic" w:hAnsi="Simplified Arabic" w:cs="Simplified Arabic"/>
          <w:sz w:val="28"/>
          <w:szCs w:val="28"/>
        </w:rPr>
      </w:pPr>
      <w:r>
        <w:rPr>
          <w:rFonts w:ascii="Simplified Arabic" w:hAnsi="Simplified Arabic" w:cs="Simplified Arabic" w:hint="cs"/>
          <w:sz w:val="28"/>
          <w:szCs w:val="28"/>
          <w:rtl/>
        </w:rPr>
        <w:t>شرط توافر الحد الأدنى من الإستقرار السياسي وبعض العوامل الداعمة مثل تحويلات المغتربين والقروض التنموية المنتظرة.</w:t>
      </w:r>
    </w:p>
    <w:p w14:paraId="62D6D6EA" w14:textId="77777777" w:rsidR="00D417F0" w:rsidRPr="00674F35" w:rsidRDefault="00D417F0" w:rsidP="00866C3E">
      <w:pPr>
        <w:pStyle w:val="ListParagraph"/>
        <w:numPr>
          <w:ilvl w:val="0"/>
          <w:numId w:val="8"/>
        </w:numPr>
        <w:bidi/>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بناء على ما تقدم قدرت إيرادات في مشروع موازنة 2027 بـ 614945 مليار </w:t>
      </w:r>
      <w:r w:rsidR="00866C3E">
        <w:rPr>
          <w:rFonts w:ascii="Simplified Arabic" w:hAnsi="Simplified Arabic" w:cs="Simplified Arabic" w:hint="cs"/>
          <w:sz w:val="28"/>
          <w:szCs w:val="28"/>
          <w:rtl/>
        </w:rPr>
        <w:t>ل.ل</w:t>
      </w:r>
      <w:r>
        <w:rPr>
          <w:rFonts w:ascii="Simplified Arabic" w:hAnsi="Simplified Arabic" w:cs="Simplified Arabic" w:hint="cs"/>
          <w:sz w:val="28"/>
          <w:szCs w:val="28"/>
          <w:rtl/>
        </w:rPr>
        <w:t xml:space="preserve"> مقابل 538416 مليار </w:t>
      </w:r>
      <w:r w:rsidR="00866C3E">
        <w:rPr>
          <w:rFonts w:ascii="Simplified Arabic" w:hAnsi="Simplified Arabic" w:cs="Simplified Arabic" w:hint="cs"/>
          <w:sz w:val="28"/>
          <w:szCs w:val="28"/>
          <w:rtl/>
        </w:rPr>
        <w:t>ل.ل</w:t>
      </w:r>
      <w:r>
        <w:rPr>
          <w:rFonts w:ascii="Simplified Arabic" w:hAnsi="Simplified Arabic" w:cs="Simplified Arabic" w:hint="cs"/>
          <w:sz w:val="28"/>
          <w:szCs w:val="28"/>
          <w:rtl/>
        </w:rPr>
        <w:t xml:space="preserve"> بزيادة قدرها 76530 مليار د.أ.</w:t>
      </w:r>
    </w:p>
    <w:p w14:paraId="66FFC11F" w14:textId="77777777" w:rsidR="00FB6152" w:rsidRDefault="00FB6152" w:rsidP="001340F7">
      <w:pPr>
        <w:bidi/>
        <w:jc w:val="both"/>
        <w:rPr>
          <w:rFonts w:ascii="Simplified Arabic" w:hAnsi="Simplified Arabic" w:cs="Simplified Arabic"/>
          <w:sz w:val="28"/>
          <w:szCs w:val="28"/>
          <w:rtl/>
        </w:rPr>
      </w:pPr>
      <w:r>
        <w:rPr>
          <w:rFonts w:ascii="Simplified Arabic" w:hAnsi="Simplified Arabic" w:cs="Simplified Arabic" w:hint="cs"/>
          <w:sz w:val="28"/>
          <w:szCs w:val="28"/>
          <w:rtl/>
        </w:rPr>
        <w:t>يتوقع أن تبلغ إيرادات الموازنة نحو 570.000 مليار ل.ل ما يعادل 6.369 مليار $ ما يعادل 16.7 من الناتج المحلي مقارنة مع 494.000 مليار ل.ل ما يعادل 5.520 مليار $ عام 2026 ما يعادل 15.4 من الناتج المحلي . ولا تزال بحسب التقرير الإيرادات العامة أدنى من مستويات ما قبل الأزمة حيث كانت تبلغ 19.7 من الناتج المحلي ، ومن المتوقع أن تنعكس إيرادات 2027 تعافياً متواضعاً. كلام التقرير ينم عن إنعدام الرؤية المستقبلية في تعزيز الإيرادات بحيث يجب أن تبلغ ما لا يقل عن 30% من الناتج المحلي ، ولكن مع حسن توزيع العبء الضريبي الذي يقع الآن بمعظمه على الفقراء في حين يجب أن تتحمل الطبقات ال</w:t>
      </w:r>
      <w:r w:rsidR="001340F7">
        <w:rPr>
          <w:rFonts w:ascii="Simplified Arabic" w:hAnsi="Simplified Arabic" w:cs="Simplified Arabic" w:hint="cs"/>
          <w:sz w:val="28"/>
          <w:szCs w:val="28"/>
          <w:rtl/>
        </w:rPr>
        <w:t>غ</w:t>
      </w:r>
      <w:r>
        <w:rPr>
          <w:rFonts w:ascii="Simplified Arabic" w:hAnsi="Simplified Arabic" w:cs="Simplified Arabic" w:hint="cs"/>
          <w:sz w:val="28"/>
          <w:szCs w:val="28"/>
          <w:rtl/>
        </w:rPr>
        <w:t>نية العبء الأكبر عبر نظام ضريبي تصاعدي عام على الدخل وعلى الإنفاق ، وهذا ليس الآن في حسبان السلطة السياسية الحاكمة.</w:t>
      </w:r>
    </w:p>
    <w:p w14:paraId="7CA0B499" w14:textId="77777777" w:rsidR="00CB298C" w:rsidRPr="00EB11F3" w:rsidRDefault="00CB298C" w:rsidP="00CB298C">
      <w:pPr>
        <w:pStyle w:val="ListParagraph"/>
        <w:numPr>
          <w:ilvl w:val="0"/>
          <w:numId w:val="8"/>
        </w:numPr>
        <w:bidi/>
        <w:jc w:val="both"/>
        <w:rPr>
          <w:rFonts w:ascii="Simplified Arabic" w:hAnsi="Simplified Arabic" w:cs="Simplified Arabic"/>
          <w:b/>
          <w:bCs/>
          <w:sz w:val="28"/>
          <w:szCs w:val="28"/>
        </w:rPr>
      </w:pPr>
      <w:r w:rsidRPr="00EB11F3">
        <w:rPr>
          <w:rFonts w:ascii="Simplified Arabic" w:hAnsi="Simplified Arabic" w:cs="Simplified Arabic" w:hint="cs"/>
          <w:b/>
          <w:bCs/>
          <w:sz w:val="28"/>
          <w:szCs w:val="28"/>
          <w:rtl/>
        </w:rPr>
        <w:t>بناء نظام ضريبي عادل:</w:t>
      </w:r>
    </w:p>
    <w:p w14:paraId="3C3D58D4" w14:textId="77777777" w:rsidR="00CB298C" w:rsidRDefault="00CB298C" w:rsidP="00EB11F3">
      <w:pPr>
        <w:pStyle w:val="ListParagraph"/>
        <w:bidi/>
        <w:ind w:left="900"/>
        <w:jc w:val="both"/>
        <w:rPr>
          <w:rFonts w:ascii="Simplified Arabic" w:hAnsi="Simplified Arabic" w:cs="Simplified Arabic"/>
          <w:sz w:val="28"/>
          <w:szCs w:val="28"/>
          <w:rtl/>
        </w:rPr>
      </w:pPr>
      <w:r>
        <w:rPr>
          <w:rFonts w:ascii="Simplified Arabic" w:hAnsi="Simplified Arabic" w:cs="Simplified Arabic" w:hint="cs"/>
          <w:sz w:val="28"/>
          <w:szCs w:val="28"/>
          <w:rtl/>
        </w:rPr>
        <w:t>بحسب معدو التقرير لا تقوم إستراتيجية الإيرادات في موازنة العام 2027 على فرض أعباء ضريبية جديدة بل على توسيع قاعدة الإمتثال ومكافحة التهرب الضريبي وتحسين كفاءة الإدارة الضريبية ، وذلك من خلال مجموعة من الإصلاحات التي تستهدف تعزيز التحصيل ، الرقمنة ، الخدمات الإلكترونية ، تعزيز تبادل المعلومات وتطوير أدوات الرقابة والتدقيق...</w:t>
      </w:r>
    </w:p>
    <w:p w14:paraId="1885919D" w14:textId="77777777" w:rsidR="00CB298C" w:rsidRDefault="00CB298C" w:rsidP="00EB11F3">
      <w:pPr>
        <w:pStyle w:val="ListParagraph"/>
        <w:bidi/>
        <w:ind w:left="90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كلام جميل ولكنه ممجوج من كثرة تكراره، وسؤالنا كيف لكم ذلك وأنتم لا تجرؤن على معاقبة موظف مرتشي ، وأنتم تعينون من ليس </w:t>
      </w:r>
      <w:r w:rsidR="00EB11F3">
        <w:rPr>
          <w:rFonts w:ascii="Simplified Arabic" w:hAnsi="Simplified Arabic" w:cs="Simplified Arabic" w:hint="cs"/>
          <w:sz w:val="28"/>
          <w:szCs w:val="28"/>
          <w:rtl/>
        </w:rPr>
        <w:t>ك</w:t>
      </w:r>
      <w:r>
        <w:rPr>
          <w:rFonts w:ascii="Simplified Arabic" w:hAnsi="Simplified Arabic" w:cs="Simplified Arabic" w:hint="cs"/>
          <w:sz w:val="28"/>
          <w:szCs w:val="28"/>
          <w:rtl/>
        </w:rPr>
        <w:t>فؤاً في الإدارة الضريبية في مناصب المسؤولية التقريرية .... أنتم تعلمون ما نعني....</w:t>
      </w:r>
    </w:p>
    <w:p w14:paraId="572FEA48" w14:textId="77777777" w:rsidR="006C6F9D" w:rsidRDefault="006C6F9D" w:rsidP="006C6F9D">
      <w:pPr>
        <w:pStyle w:val="ListParagraph"/>
        <w:bidi/>
        <w:ind w:left="900"/>
        <w:jc w:val="both"/>
        <w:rPr>
          <w:rFonts w:ascii="Simplified Arabic" w:hAnsi="Simplified Arabic" w:cs="Simplified Arabic"/>
          <w:sz w:val="28"/>
          <w:szCs w:val="28"/>
          <w:rtl/>
        </w:rPr>
      </w:pPr>
    </w:p>
    <w:p w14:paraId="643BB97A" w14:textId="77777777" w:rsidR="00CB298C" w:rsidRDefault="00CB298C" w:rsidP="00CB298C">
      <w:pPr>
        <w:pStyle w:val="ListParagraph"/>
        <w:numPr>
          <w:ilvl w:val="0"/>
          <w:numId w:val="8"/>
        </w:numPr>
        <w:bidi/>
        <w:jc w:val="both"/>
        <w:rPr>
          <w:rFonts w:ascii="Simplified Arabic" w:hAnsi="Simplified Arabic" w:cs="Simplified Arabic"/>
          <w:sz w:val="28"/>
          <w:szCs w:val="28"/>
        </w:rPr>
      </w:pPr>
      <w:r w:rsidRPr="007B032A">
        <w:rPr>
          <w:rFonts w:ascii="Simplified Arabic" w:hAnsi="Simplified Arabic" w:cs="Simplified Arabic" w:hint="cs"/>
          <w:b/>
          <w:bCs/>
          <w:sz w:val="28"/>
          <w:szCs w:val="28"/>
          <w:rtl/>
        </w:rPr>
        <w:t>توصيف مشروع موازنة 2027</w:t>
      </w:r>
      <w:r>
        <w:rPr>
          <w:rFonts w:ascii="Simplified Arabic" w:hAnsi="Simplified Arabic" w:cs="Simplified Arabic" w:hint="cs"/>
          <w:sz w:val="28"/>
          <w:szCs w:val="28"/>
          <w:rtl/>
        </w:rPr>
        <w:t xml:space="preserve"> :</w:t>
      </w:r>
    </w:p>
    <w:p w14:paraId="624757AF" w14:textId="77777777" w:rsidR="00CB298C" w:rsidRDefault="00CB298C" w:rsidP="00CB298C">
      <w:pPr>
        <w:pStyle w:val="ListParagraph"/>
        <w:bidi/>
        <w:ind w:left="900"/>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بحسب معدو التقرير فإن موازنة العام 2027 هي :</w:t>
      </w:r>
    </w:p>
    <w:p w14:paraId="65FBB0A9" w14:textId="77777777" w:rsidR="00CB298C" w:rsidRDefault="00CB298C" w:rsidP="00CB298C">
      <w:pPr>
        <w:pStyle w:val="ListParagraph"/>
        <w:bidi/>
        <w:ind w:left="900"/>
        <w:jc w:val="both"/>
        <w:rPr>
          <w:rFonts w:ascii="Simplified Arabic" w:hAnsi="Simplified Arabic" w:cs="Simplified Arabic"/>
          <w:sz w:val="28"/>
          <w:szCs w:val="28"/>
          <w:rtl/>
        </w:rPr>
      </w:pPr>
      <w:r>
        <w:rPr>
          <w:rFonts w:ascii="Simplified Arabic" w:hAnsi="Simplified Arabic" w:cs="Simplified Arabic" w:hint="cs"/>
          <w:sz w:val="28"/>
          <w:szCs w:val="28"/>
          <w:rtl/>
        </w:rPr>
        <w:t>موازنة</w:t>
      </w:r>
      <w:r w:rsidR="00EB11F3">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مسؤولة مالياً</w:t>
      </w:r>
    </w:p>
    <w:p w14:paraId="03B5264E" w14:textId="77777777" w:rsidR="00CB298C" w:rsidRDefault="00CB298C" w:rsidP="00CB298C">
      <w:pPr>
        <w:pStyle w:val="ListParagraph"/>
        <w:bidi/>
        <w:ind w:left="900"/>
        <w:jc w:val="both"/>
        <w:rPr>
          <w:rFonts w:ascii="Simplified Arabic" w:hAnsi="Simplified Arabic" w:cs="Simplified Arabic"/>
          <w:sz w:val="28"/>
          <w:szCs w:val="28"/>
          <w:rtl/>
        </w:rPr>
      </w:pPr>
      <w:r>
        <w:rPr>
          <w:rFonts w:ascii="Simplified Arabic" w:hAnsi="Simplified Arabic" w:cs="Simplified Arabic" w:hint="cs"/>
          <w:sz w:val="28"/>
          <w:szCs w:val="28"/>
          <w:rtl/>
        </w:rPr>
        <w:t>حامية إجتماعياً</w:t>
      </w:r>
    </w:p>
    <w:p w14:paraId="578B28D2" w14:textId="77777777" w:rsidR="00CB298C" w:rsidRDefault="00CB298C" w:rsidP="00CB298C">
      <w:pPr>
        <w:pStyle w:val="ListParagraph"/>
        <w:bidi/>
        <w:ind w:left="900"/>
        <w:jc w:val="both"/>
        <w:rPr>
          <w:rFonts w:ascii="Simplified Arabic" w:hAnsi="Simplified Arabic" w:cs="Simplified Arabic"/>
          <w:sz w:val="28"/>
          <w:szCs w:val="28"/>
          <w:rtl/>
        </w:rPr>
      </w:pPr>
      <w:r>
        <w:rPr>
          <w:rFonts w:ascii="Simplified Arabic" w:hAnsi="Simplified Arabic" w:cs="Simplified Arabic" w:hint="cs"/>
          <w:sz w:val="28"/>
          <w:szCs w:val="28"/>
          <w:rtl/>
        </w:rPr>
        <w:t>داعمة للنمو</w:t>
      </w:r>
    </w:p>
    <w:p w14:paraId="10A9D9C2" w14:textId="77777777" w:rsidR="00CB298C" w:rsidRDefault="00CB298C" w:rsidP="00866C3E">
      <w:pPr>
        <w:pStyle w:val="ListParagraph"/>
        <w:bidi/>
        <w:ind w:left="900"/>
        <w:jc w:val="both"/>
        <w:rPr>
          <w:rFonts w:ascii="Simplified Arabic" w:hAnsi="Simplified Arabic" w:cs="Simplified Arabic"/>
          <w:sz w:val="28"/>
          <w:szCs w:val="28"/>
          <w:rtl/>
        </w:rPr>
      </w:pPr>
      <w:r>
        <w:rPr>
          <w:rFonts w:ascii="Simplified Arabic" w:hAnsi="Simplified Arabic" w:cs="Simplified Arabic" w:hint="cs"/>
          <w:sz w:val="28"/>
          <w:szCs w:val="28"/>
          <w:rtl/>
        </w:rPr>
        <w:t>مهي</w:t>
      </w:r>
      <w:r w:rsidR="00866C3E">
        <w:rPr>
          <w:rFonts w:ascii="Simplified Arabic" w:hAnsi="Simplified Arabic" w:cs="Simplified Arabic" w:hint="cs"/>
          <w:sz w:val="28"/>
          <w:szCs w:val="28"/>
          <w:rtl/>
        </w:rPr>
        <w:t>ئ</w:t>
      </w:r>
      <w:r>
        <w:rPr>
          <w:rFonts w:ascii="Simplified Arabic" w:hAnsi="Simplified Arabic" w:cs="Simplified Arabic" w:hint="cs"/>
          <w:sz w:val="28"/>
          <w:szCs w:val="28"/>
          <w:rtl/>
        </w:rPr>
        <w:t>ة للإنتقال من الأزمات الى التعافي المستدام</w:t>
      </w:r>
    </w:p>
    <w:p w14:paraId="5F13964E" w14:textId="77777777" w:rsidR="00CB298C" w:rsidRDefault="00EB11F3" w:rsidP="00CB298C">
      <w:pPr>
        <w:pStyle w:val="ListParagraph"/>
        <w:bidi/>
        <w:ind w:left="900"/>
        <w:jc w:val="both"/>
        <w:rPr>
          <w:rFonts w:ascii="Simplified Arabic" w:hAnsi="Simplified Arabic" w:cs="Simplified Arabic"/>
          <w:sz w:val="28"/>
          <w:szCs w:val="28"/>
          <w:rtl/>
        </w:rPr>
      </w:pPr>
      <w:r>
        <w:rPr>
          <w:rFonts w:ascii="Simplified Arabic" w:hAnsi="Simplified Arabic" w:cs="Simplified Arabic" w:hint="cs"/>
          <w:sz w:val="28"/>
          <w:szCs w:val="28"/>
          <w:rtl/>
        </w:rPr>
        <w:t>وبحسب التقريرإن الجهات التي التزمت بالمهلة القانونية للإيداع مشروع موازنتها فقد بلغ 30 جهة من أصل 150 جهة أي حوالي 20% وهذا يخالف المادة 13 من قانون المحاسبة العمومية.</w:t>
      </w:r>
    </w:p>
    <w:p w14:paraId="0D7A1C56" w14:textId="77777777" w:rsidR="00EB11F3" w:rsidRDefault="00EB11F3" w:rsidP="00EB11F3">
      <w:pPr>
        <w:pStyle w:val="ListParagraph"/>
        <w:bidi/>
        <w:ind w:left="90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مشروع الموازنة لا يلحظ كامل نفقات الإيجارات بل حوالي 40% من بدل المثل نتيجة عدم قيام الجهات المعنية باحتساب أثر تطبيق قانون الإيجارات الجديد رقم 24/2025 . </w:t>
      </w:r>
    </w:p>
    <w:p w14:paraId="209DB53C" w14:textId="77777777" w:rsidR="00EB11F3" w:rsidRDefault="00EB11F3" w:rsidP="00EB11F3">
      <w:pPr>
        <w:pStyle w:val="ListParagraph"/>
        <w:bidi/>
        <w:ind w:left="900"/>
        <w:jc w:val="both"/>
        <w:rPr>
          <w:rFonts w:ascii="Simplified Arabic" w:hAnsi="Simplified Arabic" w:cs="Simplified Arabic"/>
          <w:sz w:val="28"/>
          <w:szCs w:val="28"/>
          <w:rtl/>
        </w:rPr>
      </w:pPr>
      <w:r>
        <w:rPr>
          <w:rFonts w:ascii="Simplified Arabic" w:hAnsi="Simplified Arabic" w:cs="Simplified Arabic" w:hint="cs"/>
          <w:sz w:val="28"/>
          <w:szCs w:val="28"/>
          <w:rtl/>
        </w:rPr>
        <w:t>ويشير التقرير الى استمرار تشعب مسألة الرواتب وعدم قيام بعض الجهات بحجر اعتماداتها عن سنوات سابقة. وأشار التقرير الى عدم تسديد سلفات</w:t>
      </w:r>
      <w:r w:rsidR="00F04DE2">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الخزينة ما لم ينص مرسوم إعطائها على تسديدها باعتماد يلحظ في الموازنة والإستمرار في اعتماد سعر الصرف 89.500 للدولار لمعظم الإنفاق . وتحدث التقر</w:t>
      </w:r>
      <w:r w:rsidR="00F04DE2">
        <w:rPr>
          <w:rFonts w:ascii="Simplified Arabic" w:hAnsi="Simplified Arabic" w:cs="Simplified Arabic" w:hint="cs"/>
          <w:sz w:val="28"/>
          <w:szCs w:val="28"/>
          <w:rtl/>
        </w:rPr>
        <w:t>ير عن "الو</w:t>
      </w:r>
      <w:r>
        <w:rPr>
          <w:rFonts w:ascii="Simplified Arabic" w:hAnsi="Simplified Arabic" w:cs="Simplified Arabic" w:hint="cs"/>
          <w:sz w:val="28"/>
          <w:szCs w:val="28"/>
          <w:rtl/>
        </w:rPr>
        <w:t>زارات التجريبية" كنموذج في عملية تحضير الموازنة.</w:t>
      </w:r>
    </w:p>
    <w:p w14:paraId="5D3E75CB" w14:textId="77777777" w:rsidR="00EB11F3" w:rsidRPr="00CB298C" w:rsidRDefault="00EB11F3" w:rsidP="00EB11F3">
      <w:pPr>
        <w:pStyle w:val="ListParagraph"/>
        <w:bidi/>
        <w:ind w:left="900"/>
        <w:jc w:val="both"/>
        <w:rPr>
          <w:rFonts w:ascii="Simplified Arabic" w:hAnsi="Simplified Arabic" w:cs="Simplified Arabic"/>
          <w:sz w:val="28"/>
          <w:szCs w:val="28"/>
          <w:rtl/>
        </w:rPr>
      </w:pPr>
      <w:r>
        <w:rPr>
          <w:rFonts w:ascii="Simplified Arabic" w:hAnsi="Simplified Arabic" w:cs="Simplified Arabic" w:hint="cs"/>
          <w:sz w:val="28"/>
          <w:szCs w:val="28"/>
          <w:rtl/>
        </w:rPr>
        <w:t>وتذكر وزارة المالية بكتابها رقم 1697/1 تاريخ 5/7/2019 لجانب الأمانة العامة لمجلس الوزراء المتعلق بتأطير مسألة إعداد</w:t>
      </w:r>
      <w:r w:rsidR="00F04DE2">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مشروع الموزنة العامة ... وأنه لغاية تاريخه لم تتبلغ أي رد على هذا الكتاب.</w:t>
      </w:r>
    </w:p>
    <w:p w14:paraId="4039D306" w14:textId="77777777" w:rsidR="00A05460" w:rsidRDefault="00A05460" w:rsidP="00A05460">
      <w:pPr>
        <w:pStyle w:val="ListParagraph"/>
        <w:numPr>
          <w:ilvl w:val="0"/>
          <w:numId w:val="5"/>
        </w:numPr>
        <w:bidi/>
        <w:jc w:val="both"/>
        <w:rPr>
          <w:rFonts w:ascii="Simplified Arabic" w:hAnsi="Simplified Arabic" w:cs="Simplified Arabic"/>
          <w:sz w:val="28"/>
          <w:szCs w:val="28"/>
        </w:rPr>
      </w:pPr>
      <w:r>
        <w:rPr>
          <w:rFonts w:ascii="Simplified Arabic" w:hAnsi="Simplified Arabic" w:cs="Simplified Arabic" w:hint="cs"/>
          <w:sz w:val="28"/>
          <w:szCs w:val="28"/>
          <w:rtl/>
        </w:rPr>
        <w:t>لحظ اعتماد للفوائد</w:t>
      </w:r>
      <w:r w:rsidR="00F04DE2">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بقيمة 15432 مليون ل.ل ما يعادل 172 مليون دولار مقابل 25931 مليون ل.ل عام 2026 ما يعادل 290 مليون د.أ ، ويشير التقرير الى أنه لم يتم لحظ ما يتعلق بالفوائد على سندات الخزينة بالعملة الأجنبية أسوة بالمعمول به عام 2021 ...</w:t>
      </w:r>
    </w:p>
    <w:p w14:paraId="056164B3" w14:textId="77777777" w:rsidR="008605B7" w:rsidRDefault="008605B7" w:rsidP="008605B7">
      <w:pPr>
        <w:pStyle w:val="ListParagraph"/>
        <w:numPr>
          <w:ilvl w:val="0"/>
          <w:numId w:val="5"/>
        </w:numPr>
        <w:bidi/>
        <w:jc w:val="both"/>
        <w:rPr>
          <w:rFonts w:ascii="Simplified Arabic" w:hAnsi="Simplified Arabic" w:cs="Simplified Arabic"/>
          <w:sz w:val="28"/>
          <w:szCs w:val="28"/>
        </w:rPr>
      </w:pPr>
      <w:r>
        <w:rPr>
          <w:rFonts w:ascii="Simplified Arabic" w:hAnsi="Simplified Arabic" w:cs="Simplified Arabic" w:hint="cs"/>
          <w:sz w:val="28"/>
          <w:szCs w:val="28"/>
          <w:rtl/>
        </w:rPr>
        <w:t xml:space="preserve">يعترف التقرير </w:t>
      </w:r>
      <w:r w:rsidR="00D17CC6">
        <w:rPr>
          <w:rFonts w:ascii="Simplified Arabic" w:hAnsi="Simplified Arabic" w:cs="Simplified Arabic" w:hint="cs"/>
          <w:sz w:val="28"/>
          <w:szCs w:val="28"/>
          <w:rtl/>
        </w:rPr>
        <w:t>بأن الإعتمادات الملحوظة ل</w:t>
      </w:r>
      <w:r>
        <w:rPr>
          <w:rFonts w:ascii="Simplified Arabic" w:hAnsi="Simplified Arabic" w:cs="Simplified Arabic" w:hint="cs"/>
          <w:sz w:val="28"/>
          <w:szCs w:val="28"/>
          <w:rtl/>
        </w:rPr>
        <w:t xml:space="preserve">خدمة الدين العام لا تعكس الكلفة الإجمالية بسبب استمرار تعليق سداد الفوائد المستحقة على سندات الخزينة </w:t>
      </w:r>
      <w:r>
        <w:rPr>
          <w:rFonts w:ascii="Simplified Arabic" w:hAnsi="Simplified Arabic" w:cs="Simplified Arabic"/>
          <w:sz w:val="28"/>
          <w:szCs w:val="28"/>
        </w:rPr>
        <w:t>Eurobonds</w:t>
      </w:r>
      <w:r>
        <w:rPr>
          <w:rFonts w:ascii="Simplified Arabic" w:hAnsi="Simplified Arabic" w:cs="Simplified Arabic" w:hint="cs"/>
          <w:sz w:val="28"/>
          <w:szCs w:val="28"/>
          <w:rtl/>
        </w:rPr>
        <w:t xml:space="preserve"> بالعملة الأجنبية منذ 2021 ولتاريخه المترتبة على الدولة اللبنانية بانتظار إعادة هيكلة الدين العام والتفاوض مع الدائنين .</w:t>
      </w:r>
    </w:p>
    <w:tbl>
      <w:tblPr>
        <w:tblStyle w:val="TableGrid"/>
        <w:bidiVisual/>
        <w:tblW w:w="0" w:type="auto"/>
        <w:tblInd w:w="720" w:type="dxa"/>
        <w:tblLook w:val="04A0" w:firstRow="1" w:lastRow="0" w:firstColumn="1" w:lastColumn="0" w:noHBand="0" w:noVBand="1"/>
      </w:tblPr>
      <w:tblGrid>
        <w:gridCol w:w="3414"/>
        <w:gridCol w:w="1170"/>
        <w:gridCol w:w="1170"/>
        <w:gridCol w:w="1530"/>
      </w:tblGrid>
      <w:tr w:rsidR="008605B7" w14:paraId="6633E688" w14:textId="77777777" w:rsidTr="008605B7">
        <w:tc>
          <w:tcPr>
            <w:tcW w:w="3414" w:type="dxa"/>
          </w:tcPr>
          <w:p w14:paraId="0460E080" w14:textId="77777777" w:rsidR="008605B7" w:rsidRDefault="008605B7" w:rsidP="008605B7">
            <w:pPr>
              <w:pStyle w:val="ListParagraph"/>
              <w:bidi/>
              <w:ind w:left="0"/>
              <w:jc w:val="both"/>
              <w:rPr>
                <w:rFonts w:ascii="Simplified Arabic" w:hAnsi="Simplified Arabic" w:cs="Simplified Arabic"/>
                <w:sz w:val="28"/>
                <w:szCs w:val="28"/>
                <w:rtl/>
              </w:rPr>
            </w:pPr>
          </w:p>
        </w:tc>
        <w:tc>
          <w:tcPr>
            <w:tcW w:w="1170" w:type="dxa"/>
          </w:tcPr>
          <w:p w14:paraId="13914E31" w14:textId="77777777" w:rsidR="008605B7" w:rsidRPr="00A57A58" w:rsidRDefault="008605B7" w:rsidP="00A57A58">
            <w:pPr>
              <w:pStyle w:val="ListParagraph"/>
              <w:bidi/>
              <w:ind w:left="0"/>
              <w:jc w:val="center"/>
              <w:rPr>
                <w:rFonts w:ascii="Simplified Arabic" w:hAnsi="Simplified Arabic" w:cs="Simplified Arabic"/>
                <w:b/>
                <w:bCs/>
                <w:sz w:val="28"/>
                <w:szCs w:val="28"/>
                <w:rtl/>
              </w:rPr>
            </w:pPr>
            <w:r w:rsidRPr="00A57A58">
              <w:rPr>
                <w:rFonts w:ascii="Simplified Arabic" w:hAnsi="Simplified Arabic" w:cs="Simplified Arabic" w:hint="cs"/>
                <w:b/>
                <w:bCs/>
                <w:sz w:val="28"/>
                <w:szCs w:val="28"/>
                <w:rtl/>
              </w:rPr>
              <w:t>2027</w:t>
            </w:r>
          </w:p>
        </w:tc>
        <w:tc>
          <w:tcPr>
            <w:tcW w:w="1170" w:type="dxa"/>
          </w:tcPr>
          <w:p w14:paraId="48717069" w14:textId="77777777" w:rsidR="008605B7" w:rsidRPr="00A57A58" w:rsidRDefault="008605B7" w:rsidP="00A57A58">
            <w:pPr>
              <w:pStyle w:val="ListParagraph"/>
              <w:bidi/>
              <w:ind w:left="0"/>
              <w:jc w:val="center"/>
              <w:rPr>
                <w:rFonts w:ascii="Simplified Arabic" w:hAnsi="Simplified Arabic" w:cs="Simplified Arabic"/>
                <w:b/>
                <w:bCs/>
                <w:sz w:val="28"/>
                <w:szCs w:val="28"/>
                <w:rtl/>
              </w:rPr>
            </w:pPr>
            <w:r w:rsidRPr="00A57A58">
              <w:rPr>
                <w:rFonts w:ascii="Simplified Arabic" w:hAnsi="Simplified Arabic" w:cs="Simplified Arabic" w:hint="cs"/>
                <w:b/>
                <w:bCs/>
                <w:sz w:val="28"/>
                <w:szCs w:val="28"/>
                <w:rtl/>
              </w:rPr>
              <w:t>2026</w:t>
            </w:r>
          </w:p>
        </w:tc>
        <w:tc>
          <w:tcPr>
            <w:tcW w:w="1530" w:type="dxa"/>
          </w:tcPr>
          <w:p w14:paraId="42F25857" w14:textId="77777777" w:rsidR="008605B7" w:rsidRPr="00A57A58" w:rsidRDefault="008605B7" w:rsidP="00A57A58">
            <w:pPr>
              <w:pStyle w:val="ListParagraph"/>
              <w:bidi/>
              <w:ind w:left="0"/>
              <w:jc w:val="center"/>
              <w:rPr>
                <w:rFonts w:ascii="Simplified Arabic" w:hAnsi="Simplified Arabic" w:cs="Simplified Arabic"/>
                <w:b/>
                <w:bCs/>
                <w:sz w:val="28"/>
                <w:szCs w:val="28"/>
                <w:rtl/>
              </w:rPr>
            </w:pPr>
            <w:r w:rsidRPr="00A57A58">
              <w:rPr>
                <w:rFonts w:ascii="Simplified Arabic" w:hAnsi="Simplified Arabic" w:cs="Simplified Arabic" w:hint="cs"/>
                <w:b/>
                <w:bCs/>
                <w:sz w:val="28"/>
                <w:szCs w:val="28"/>
                <w:rtl/>
              </w:rPr>
              <w:t>التغيير</w:t>
            </w:r>
          </w:p>
        </w:tc>
      </w:tr>
      <w:tr w:rsidR="008605B7" w14:paraId="7366ED96" w14:textId="77777777" w:rsidTr="008605B7">
        <w:tc>
          <w:tcPr>
            <w:tcW w:w="3414" w:type="dxa"/>
          </w:tcPr>
          <w:p w14:paraId="701FE2F1" w14:textId="77777777" w:rsidR="008605B7" w:rsidRDefault="008605B7" w:rsidP="008605B7">
            <w:pPr>
              <w:pStyle w:val="ListParagraph"/>
              <w:bidi/>
              <w:ind w:left="0"/>
              <w:jc w:val="both"/>
              <w:rPr>
                <w:rFonts w:ascii="Simplified Arabic" w:hAnsi="Simplified Arabic" w:cs="Simplified Arabic"/>
                <w:sz w:val="28"/>
                <w:szCs w:val="28"/>
                <w:rtl/>
              </w:rPr>
            </w:pPr>
            <w:r>
              <w:rPr>
                <w:rFonts w:ascii="Simplified Arabic" w:hAnsi="Simplified Arabic" w:cs="Simplified Arabic" w:hint="cs"/>
                <w:sz w:val="28"/>
                <w:szCs w:val="28"/>
                <w:rtl/>
              </w:rPr>
              <w:t>الفوائد على سندات الخزينة الداخلية</w:t>
            </w:r>
          </w:p>
        </w:tc>
        <w:tc>
          <w:tcPr>
            <w:tcW w:w="1170" w:type="dxa"/>
          </w:tcPr>
          <w:p w14:paraId="12523B34" w14:textId="77777777" w:rsidR="008605B7" w:rsidRDefault="008605B7" w:rsidP="008605B7">
            <w:pPr>
              <w:pStyle w:val="ListParagraph"/>
              <w:bidi/>
              <w:ind w:left="0"/>
              <w:jc w:val="both"/>
              <w:rPr>
                <w:rFonts w:ascii="Simplified Arabic" w:hAnsi="Simplified Arabic" w:cs="Simplified Arabic"/>
                <w:sz w:val="28"/>
                <w:szCs w:val="28"/>
                <w:rtl/>
              </w:rPr>
            </w:pPr>
            <w:r>
              <w:rPr>
                <w:rFonts w:ascii="Simplified Arabic" w:hAnsi="Simplified Arabic" w:cs="Simplified Arabic" w:hint="cs"/>
                <w:sz w:val="28"/>
                <w:szCs w:val="28"/>
                <w:rtl/>
              </w:rPr>
              <w:t>1952</w:t>
            </w:r>
          </w:p>
        </w:tc>
        <w:tc>
          <w:tcPr>
            <w:tcW w:w="1170" w:type="dxa"/>
          </w:tcPr>
          <w:p w14:paraId="77B5F2E8" w14:textId="77777777" w:rsidR="008605B7" w:rsidRDefault="008605B7" w:rsidP="008605B7">
            <w:pPr>
              <w:pStyle w:val="ListParagraph"/>
              <w:bidi/>
              <w:ind w:left="0"/>
              <w:jc w:val="both"/>
              <w:rPr>
                <w:rFonts w:ascii="Simplified Arabic" w:hAnsi="Simplified Arabic" w:cs="Simplified Arabic"/>
                <w:sz w:val="28"/>
                <w:szCs w:val="28"/>
                <w:rtl/>
              </w:rPr>
            </w:pPr>
            <w:r>
              <w:rPr>
                <w:rFonts w:ascii="Simplified Arabic" w:hAnsi="Simplified Arabic" w:cs="Simplified Arabic" w:hint="cs"/>
                <w:sz w:val="28"/>
                <w:szCs w:val="28"/>
                <w:rtl/>
              </w:rPr>
              <w:t>8455</w:t>
            </w:r>
          </w:p>
        </w:tc>
        <w:tc>
          <w:tcPr>
            <w:tcW w:w="1530" w:type="dxa"/>
          </w:tcPr>
          <w:p w14:paraId="1A34B741" w14:textId="77777777" w:rsidR="008605B7" w:rsidRDefault="008605B7" w:rsidP="008605B7">
            <w:pPr>
              <w:pStyle w:val="ListParagraph"/>
              <w:bidi/>
              <w:ind w:left="0"/>
              <w:jc w:val="both"/>
              <w:rPr>
                <w:rFonts w:ascii="Simplified Arabic" w:hAnsi="Simplified Arabic" w:cs="Simplified Arabic"/>
                <w:sz w:val="28"/>
                <w:szCs w:val="28"/>
                <w:rtl/>
              </w:rPr>
            </w:pPr>
            <w:r>
              <w:rPr>
                <w:rFonts w:ascii="Simplified Arabic" w:hAnsi="Simplified Arabic" w:cs="Simplified Arabic" w:hint="cs"/>
                <w:sz w:val="28"/>
                <w:szCs w:val="28"/>
                <w:rtl/>
              </w:rPr>
              <w:t>(6503)</w:t>
            </w:r>
          </w:p>
        </w:tc>
      </w:tr>
      <w:tr w:rsidR="008605B7" w14:paraId="463D44E8" w14:textId="77777777" w:rsidTr="008605B7">
        <w:tc>
          <w:tcPr>
            <w:tcW w:w="3414" w:type="dxa"/>
          </w:tcPr>
          <w:p w14:paraId="4EB57D71" w14:textId="77777777" w:rsidR="008605B7" w:rsidRDefault="008605B7" w:rsidP="008605B7">
            <w:pPr>
              <w:pStyle w:val="ListParagraph"/>
              <w:bidi/>
              <w:ind w:left="0"/>
              <w:jc w:val="both"/>
              <w:rPr>
                <w:rFonts w:ascii="Simplified Arabic" w:hAnsi="Simplified Arabic" w:cs="Simplified Arabic"/>
                <w:sz w:val="28"/>
                <w:szCs w:val="28"/>
                <w:rtl/>
              </w:rPr>
            </w:pPr>
            <w:r>
              <w:rPr>
                <w:rFonts w:ascii="Simplified Arabic" w:hAnsi="Simplified Arabic" w:cs="Simplified Arabic" w:hint="cs"/>
                <w:sz w:val="28"/>
                <w:szCs w:val="28"/>
                <w:rtl/>
              </w:rPr>
              <w:t>سندات الخزينة الخارجية والقروض</w:t>
            </w:r>
          </w:p>
        </w:tc>
        <w:tc>
          <w:tcPr>
            <w:tcW w:w="1170" w:type="dxa"/>
          </w:tcPr>
          <w:p w14:paraId="239A2BE6" w14:textId="77777777" w:rsidR="008605B7" w:rsidRDefault="008605B7" w:rsidP="008605B7">
            <w:pPr>
              <w:pStyle w:val="ListParagraph"/>
              <w:bidi/>
              <w:ind w:left="0"/>
              <w:jc w:val="both"/>
              <w:rPr>
                <w:rFonts w:ascii="Simplified Arabic" w:hAnsi="Simplified Arabic" w:cs="Simplified Arabic"/>
                <w:sz w:val="28"/>
                <w:szCs w:val="28"/>
                <w:rtl/>
              </w:rPr>
            </w:pPr>
            <w:r>
              <w:rPr>
                <w:rFonts w:ascii="Simplified Arabic" w:hAnsi="Simplified Arabic" w:cs="Simplified Arabic" w:hint="cs"/>
                <w:sz w:val="28"/>
                <w:szCs w:val="28"/>
                <w:rtl/>
              </w:rPr>
              <w:t>13480</w:t>
            </w:r>
          </w:p>
        </w:tc>
        <w:tc>
          <w:tcPr>
            <w:tcW w:w="1170" w:type="dxa"/>
          </w:tcPr>
          <w:p w14:paraId="6C92D3D8" w14:textId="77777777" w:rsidR="008605B7" w:rsidRDefault="008605B7" w:rsidP="008605B7">
            <w:pPr>
              <w:pStyle w:val="ListParagraph"/>
              <w:bidi/>
              <w:ind w:left="0"/>
              <w:jc w:val="both"/>
              <w:rPr>
                <w:rFonts w:ascii="Simplified Arabic" w:hAnsi="Simplified Arabic" w:cs="Simplified Arabic"/>
                <w:sz w:val="28"/>
                <w:szCs w:val="28"/>
                <w:rtl/>
              </w:rPr>
            </w:pPr>
            <w:r>
              <w:rPr>
                <w:rFonts w:ascii="Simplified Arabic" w:hAnsi="Simplified Arabic" w:cs="Simplified Arabic" w:hint="cs"/>
                <w:sz w:val="28"/>
                <w:szCs w:val="28"/>
                <w:rtl/>
              </w:rPr>
              <w:t>17476</w:t>
            </w:r>
          </w:p>
        </w:tc>
        <w:tc>
          <w:tcPr>
            <w:tcW w:w="1530" w:type="dxa"/>
          </w:tcPr>
          <w:p w14:paraId="57D5F5A3" w14:textId="77777777" w:rsidR="008605B7" w:rsidRDefault="008605B7" w:rsidP="008605B7">
            <w:pPr>
              <w:pStyle w:val="ListParagraph"/>
              <w:bidi/>
              <w:ind w:left="0"/>
              <w:jc w:val="both"/>
              <w:rPr>
                <w:rFonts w:ascii="Simplified Arabic" w:hAnsi="Simplified Arabic" w:cs="Simplified Arabic"/>
                <w:sz w:val="28"/>
                <w:szCs w:val="28"/>
                <w:rtl/>
              </w:rPr>
            </w:pPr>
            <w:r>
              <w:rPr>
                <w:rFonts w:ascii="Simplified Arabic" w:hAnsi="Simplified Arabic" w:cs="Simplified Arabic" w:hint="cs"/>
                <w:sz w:val="28"/>
                <w:szCs w:val="28"/>
                <w:rtl/>
              </w:rPr>
              <w:t>(3996)</w:t>
            </w:r>
          </w:p>
        </w:tc>
      </w:tr>
    </w:tbl>
    <w:p w14:paraId="37895831" w14:textId="77777777" w:rsidR="008605B7" w:rsidRDefault="00D158A9" w:rsidP="008605B7">
      <w:pPr>
        <w:pStyle w:val="ListParagraph"/>
        <w:bidi/>
        <w:jc w:val="both"/>
        <w:rPr>
          <w:rFonts w:ascii="Simplified Arabic" w:hAnsi="Simplified Arabic" w:cs="Simplified Arabic"/>
          <w:sz w:val="28"/>
          <w:szCs w:val="28"/>
        </w:rPr>
      </w:pPr>
      <w:r>
        <w:rPr>
          <w:rFonts w:ascii="Simplified Arabic" w:hAnsi="Simplified Arabic" w:cs="Simplified Arabic" w:hint="cs"/>
          <w:sz w:val="28"/>
          <w:szCs w:val="28"/>
          <w:rtl/>
        </w:rPr>
        <w:t>لم يكشف التقرير سبب هذا الإنخفاض.</w:t>
      </w:r>
    </w:p>
    <w:p w14:paraId="2B091676" w14:textId="77777777" w:rsidR="00A05460" w:rsidRDefault="00A05460" w:rsidP="00B90FDE">
      <w:pPr>
        <w:pStyle w:val="ListParagraph"/>
        <w:bidi/>
        <w:jc w:val="both"/>
        <w:rPr>
          <w:rFonts w:ascii="Simplified Arabic" w:hAnsi="Simplified Arabic" w:cs="Simplified Arabic"/>
          <w:sz w:val="28"/>
          <w:szCs w:val="28"/>
        </w:rPr>
      </w:pPr>
      <w:r>
        <w:rPr>
          <w:rFonts w:ascii="Simplified Arabic" w:hAnsi="Simplified Arabic" w:cs="Simplified Arabic" w:hint="cs"/>
          <w:sz w:val="28"/>
          <w:szCs w:val="28"/>
          <w:rtl/>
        </w:rPr>
        <w:lastRenderedPageBreak/>
        <w:t>- أما بالنسبة الى قوانين البرامج فيتحدث التقرير عن تخلف الجهات المعنية بالإجابة عن كتابي وزارة ورئاسة مجلس الوزراء حول مراجعة هذه القوانين وتيويمها وإلغاء ما لم يعد من الألويات ، لذلك تضمن مشروع الموازنة نصاً بإلغاء قوانين البرامج علماً بأن قيمتها الملحوظة للعام 2026 بلغت 1184 مليار ل.ل.</w:t>
      </w:r>
    </w:p>
    <w:p w14:paraId="16AF6B5C" w14:textId="77777777" w:rsidR="00A05460" w:rsidRDefault="00A05460" w:rsidP="008605B7">
      <w:pPr>
        <w:pStyle w:val="ListParagraph"/>
        <w:bidi/>
        <w:jc w:val="both"/>
        <w:rPr>
          <w:rFonts w:ascii="Simplified Arabic" w:hAnsi="Simplified Arabic" w:cs="Simplified Arabic"/>
          <w:sz w:val="28"/>
          <w:szCs w:val="28"/>
        </w:rPr>
      </w:pPr>
      <w:r>
        <w:rPr>
          <w:rFonts w:ascii="Simplified Arabic" w:hAnsi="Simplified Arabic" w:cs="Simplified Arabic" w:hint="cs"/>
          <w:sz w:val="28"/>
          <w:szCs w:val="28"/>
          <w:rtl/>
        </w:rPr>
        <w:t>- ويشير التقرير الى أن الفائض الأولي يساوي نفقات فوائد الدين العام وقدرها 15432 فقط ، وعدم تسجيل أي عجز أسوة بموانتي 2025 و2026.</w:t>
      </w:r>
    </w:p>
    <w:p w14:paraId="62B66EA1" w14:textId="77777777" w:rsidR="00A05460" w:rsidRDefault="00A05460" w:rsidP="002F2F4D">
      <w:pPr>
        <w:pStyle w:val="ListParagraph"/>
        <w:bidi/>
        <w:jc w:val="both"/>
        <w:rPr>
          <w:rFonts w:ascii="Simplified Arabic" w:hAnsi="Simplified Arabic" w:cs="Simplified Arabic"/>
          <w:sz w:val="28"/>
          <w:szCs w:val="28"/>
        </w:rPr>
      </w:pPr>
      <w:r>
        <w:rPr>
          <w:rFonts w:ascii="Simplified Arabic" w:hAnsi="Simplified Arabic" w:cs="Simplified Arabic" w:hint="cs"/>
          <w:sz w:val="28"/>
          <w:szCs w:val="28"/>
          <w:rtl/>
        </w:rPr>
        <w:t>- يعترف معدو التقرير بمحدودية النفقات الإستثمارية مع الأخذ بعين الإعتبار إنه سيعول هذا النوع من الإنفاق على التموويل الخارجي بصورة رئيسية.</w:t>
      </w:r>
    </w:p>
    <w:p w14:paraId="0BBEF7E6" w14:textId="77777777" w:rsidR="00866C3E" w:rsidRDefault="00866C3E" w:rsidP="00866C3E">
      <w:pPr>
        <w:bidi/>
        <w:rPr>
          <w:rFonts w:ascii="Simplified Arabic" w:hAnsi="Simplified Arabic" w:cs="Simplified Arabic"/>
          <w:b/>
          <w:bCs/>
          <w:sz w:val="28"/>
          <w:szCs w:val="28"/>
          <w:rtl/>
        </w:rPr>
      </w:pPr>
    </w:p>
    <w:p w14:paraId="3838EB20" w14:textId="77777777" w:rsidR="00CF6211" w:rsidRPr="002F2F4D" w:rsidRDefault="00CF6211" w:rsidP="00866C3E">
      <w:pPr>
        <w:bidi/>
        <w:rPr>
          <w:rFonts w:ascii="Simplified Arabic" w:hAnsi="Simplified Arabic" w:cs="Simplified Arabic"/>
          <w:b/>
          <w:bCs/>
          <w:sz w:val="28"/>
          <w:szCs w:val="28"/>
          <w:rtl/>
        </w:rPr>
      </w:pPr>
      <w:r w:rsidRPr="002F2F4D">
        <w:rPr>
          <w:rFonts w:ascii="Simplified Arabic" w:hAnsi="Simplified Arabic" w:cs="Simplified Arabic" w:hint="cs"/>
          <w:b/>
          <w:bCs/>
          <w:sz w:val="28"/>
          <w:szCs w:val="28"/>
          <w:rtl/>
        </w:rPr>
        <w:t>ا</w:t>
      </w:r>
      <w:r w:rsidR="002F2F4D">
        <w:rPr>
          <w:rFonts w:ascii="Simplified Arabic" w:hAnsi="Simplified Arabic" w:cs="Simplified Arabic" w:hint="cs"/>
          <w:b/>
          <w:bCs/>
          <w:sz w:val="28"/>
          <w:szCs w:val="28"/>
          <w:rtl/>
        </w:rPr>
        <w:t>لمخالفات وا</w:t>
      </w:r>
      <w:r w:rsidRPr="002F2F4D">
        <w:rPr>
          <w:rFonts w:ascii="Simplified Arabic" w:hAnsi="Simplified Arabic" w:cs="Simplified Arabic" w:hint="cs"/>
          <w:b/>
          <w:bCs/>
          <w:sz w:val="28"/>
          <w:szCs w:val="28"/>
          <w:rtl/>
        </w:rPr>
        <w:t>لأبواب الموصدة</w:t>
      </w:r>
      <w:r w:rsidR="00866C3E">
        <w:rPr>
          <w:rFonts w:ascii="Simplified Arabic" w:hAnsi="Simplified Arabic" w:cs="Simplified Arabic" w:hint="cs"/>
          <w:b/>
          <w:bCs/>
          <w:sz w:val="28"/>
          <w:szCs w:val="28"/>
          <w:rtl/>
        </w:rPr>
        <w:t>:</w:t>
      </w:r>
    </w:p>
    <w:p w14:paraId="7AA109C8" w14:textId="77777777" w:rsidR="00674F35" w:rsidRDefault="00CF6211" w:rsidP="00674F35">
      <w:pPr>
        <w:bidi/>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وبرأينا : إذا أقرت موازنة عام 2027، كما أعدتها وزارة المالية فستكون موازنة الأبواب الموصدة بوجه البناء والإنماء والتنمية وإعادة الإعمار ، وهذه الموازنة بدل أن تكون </w:t>
      </w:r>
      <w:r w:rsidRPr="002F2F4D">
        <w:rPr>
          <w:rFonts w:ascii="Simplified Arabic" w:hAnsi="Simplified Arabic" w:cs="Simplified Arabic" w:hint="cs"/>
          <w:b/>
          <w:bCs/>
          <w:sz w:val="28"/>
          <w:szCs w:val="28"/>
          <w:rtl/>
        </w:rPr>
        <w:t>مس</w:t>
      </w:r>
      <w:r w:rsidR="00FA644E" w:rsidRPr="002F2F4D">
        <w:rPr>
          <w:rFonts w:ascii="Simplified Arabic" w:hAnsi="Simplified Arabic" w:cs="Simplified Arabic" w:hint="cs"/>
          <w:b/>
          <w:bCs/>
          <w:sz w:val="28"/>
          <w:szCs w:val="28"/>
          <w:rtl/>
        </w:rPr>
        <w:t>ؤ</w:t>
      </w:r>
      <w:r w:rsidRPr="002F2F4D">
        <w:rPr>
          <w:rFonts w:ascii="Simplified Arabic" w:hAnsi="Simplified Arabic" w:cs="Simplified Arabic" w:hint="cs"/>
          <w:b/>
          <w:bCs/>
          <w:sz w:val="28"/>
          <w:szCs w:val="28"/>
          <w:rtl/>
        </w:rPr>
        <w:t>ولة مالياً</w:t>
      </w:r>
      <w:r>
        <w:rPr>
          <w:rFonts w:ascii="Simplified Arabic" w:hAnsi="Simplified Arabic" w:cs="Simplified Arabic" w:hint="cs"/>
          <w:sz w:val="28"/>
          <w:szCs w:val="28"/>
          <w:rtl/>
        </w:rPr>
        <w:t xml:space="preserve"> فستكون متفلتة مالياً وبدلاً من أن تكون </w:t>
      </w:r>
      <w:r w:rsidRPr="002F2F4D">
        <w:rPr>
          <w:rFonts w:ascii="Simplified Arabic" w:hAnsi="Simplified Arabic" w:cs="Simplified Arabic" w:hint="cs"/>
          <w:b/>
          <w:bCs/>
          <w:sz w:val="28"/>
          <w:szCs w:val="28"/>
          <w:rtl/>
        </w:rPr>
        <w:t xml:space="preserve">حامية </w:t>
      </w:r>
      <w:r w:rsidR="00263A39" w:rsidRPr="002F2F4D">
        <w:rPr>
          <w:rFonts w:ascii="Simplified Arabic" w:hAnsi="Simplified Arabic" w:cs="Simplified Arabic" w:hint="cs"/>
          <w:b/>
          <w:bCs/>
          <w:sz w:val="28"/>
          <w:szCs w:val="28"/>
          <w:rtl/>
        </w:rPr>
        <w:t>إجتماعياً</w:t>
      </w:r>
      <w:r w:rsidR="00263A39">
        <w:rPr>
          <w:rFonts w:ascii="Simplified Arabic" w:hAnsi="Simplified Arabic" w:cs="Simplified Arabic" w:hint="cs"/>
          <w:sz w:val="28"/>
          <w:szCs w:val="28"/>
          <w:rtl/>
        </w:rPr>
        <w:t xml:space="preserve"> ستكون موازنة الإفقار </w:t>
      </w:r>
      <w:r w:rsidR="00674F35" w:rsidRPr="002F2F4D">
        <w:rPr>
          <w:rFonts w:ascii="Simplified Arabic" w:hAnsi="Simplified Arabic" w:cs="Simplified Arabic" w:hint="cs"/>
          <w:b/>
          <w:bCs/>
          <w:sz w:val="28"/>
          <w:szCs w:val="28"/>
          <w:rtl/>
        </w:rPr>
        <w:t>والتهميش الإجتماعي</w:t>
      </w:r>
      <w:r w:rsidR="00674F35">
        <w:rPr>
          <w:rFonts w:ascii="Simplified Arabic" w:hAnsi="Simplified Arabic" w:cs="Simplified Arabic" w:hint="cs"/>
          <w:sz w:val="28"/>
          <w:szCs w:val="28"/>
          <w:rtl/>
        </w:rPr>
        <w:t xml:space="preserve"> وبدل أن تكون </w:t>
      </w:r>
      <w:r w:rsidR="00674F35" w:rsidRPr="002F2F4D">
        <w:rPr>
          <w:rFonts w:ascii="Simplified Arabic" w:hAnsi="Simplified Arabic" w:cs="Simplified Arabic" w:hint="cs"/>
          <w:b/>
          <w:bCs/>
          <w:sz w:val="28"/>
          <w:szCs w:val="28"/>
          <w:rtl/>
        </w:rPr>
        <w:t>داعمة للنمو</w:t>
      </w:r>
      <w:r w:rsidR="00674F35">
        <w:rPr>
          <w:rFonts w:ascii="Simplified Arabic" w:hAnsi="Simplified Arabic" w:cs="Simplified Arabic" w:hint="cs"/>
          <w:sz w:val="28"/>
          <w:szCs w:val="28"/>
          <w:rtl/>
        </w:rPr>
        <w:t xml:space="preserve"> ستكون </w:t>
      </w:r>
      <w:r w:rsidRPr="002F2F4D">
        <w:rPr>
          <w:rFonts w:ascii="Simplified Arabic" w:hAnsi="Simplified Arabic" w:cs="Simplified Arabic" w:hint="cs"/>
          <w:b/>
          <w:bCs/>
          <w:sz w:val="28"/>
          <w:szCs w:val="28"/>
          <w:rtl/>
        </w:rPr>
        <w:t>محبطة للنمو</w:t>
      </w:r>
      <w:r>
        <w:rPr>
          <w:rFonts w:ascii="Simplified Arabic" w:hAnsi="Simplified Arabic" w:cs="Simplified Arabic" w:hint="cs"/>
          <w:sz w:val="28"/>
          <w:szCs w:val="28"/>
          <w:rtl/>
        </w:rPr>
        <w:t xml:space="preserve"> والتنمية والبناء و</w:t>
      </w:r>
      <w:r w:rsidR="00674F35">
        <w:rPr>
          <w:rFonts w:ascii="Simplified Arabic" w:hAnsi="Simplified Arabic" w:cs="Simplified Arabic" w:hint="cs"/>
          <w:sz w:val="28"/>
          <w:szCs w:val="28"/>
          <w:rtl/>
        </w:rPr>
        <w:t>إ</w:t>
      </w:r>
      <w:r>
        <w:rPr>
          <w:rFonts w:ascii="Simplified Arabic" w:hAnsi="Simplified Arabic" w:cs="Simplified Arabic" w:hint="cs"/>
          <w:sz w:val="28"/>
          <w:szCs w:val="28"/>
          <w:rtl/>
        </w:rPr>
        <w:t xml:space="preserve">عادة الإعمار </w:t>
      </w:r>
      <w:r w:rsidR="00674F35">
        <w:rPr>
          <w:rFonts w:ascii="Simplified Arabic" w:hAnsi="Simplified Arabic" w:cs="Simplified Arabic" w:hint="cs"/>
          <w:sz w:val="28"/>
          <w:szCs w:val="28"/>
          <w:rtl/>
        </w:rPr>
        <w:t xml:space="preserve">، وستكون وظيفتها </w:t>
      </w:r>
      <w:r w:rsidR="00674F35" w:rsidRPr="002F2F4D">
        <w:rPr>
          <w:rFonts w:ascii="Simplified Arabic" w:hAnsi="Simplified Arabic" w:cs="Simplified Arabic" w:hint="cs"/>
          <w:b/>
          <w:bCs/>
          <w:sz w:val="28"/>
          <w:szCs w:val="28"/>
          <w:rtl/>
        </w:rPr>
        <w:t>تعميق الأزمة</w:t>
      </w:r>
      <w:r w:rsidR="00674F35">
        <w:rPr>
          <w:rFonts w:ascii="Simplified Arabic" w:hAnsi="Simplified Arabic" w:cs="Simplified Arabic" w:hint="cs"/>
          <w:sz w:val="28"/>
          <w:szCs w:val="28"/>
          <w:rtl/>
        </w:rPr>
        <w:t xml:space="preserve"> وسوء إدارتها ولكن تكون مهئية للإنتقال من الأزمة الى التعافي وكل ذلك سببه ما يلي :</w:t>
      </w:r>
    </w:p>
    <w:p w14:paraId="0F0131B9" w14:textId="77777777" w:rsidR="00CF6211" w:rsidRPr="00674F35" w:rsidRDefault="00674F35" w:rsidP="002F2F4D">
      <w:pPr>
        <w:pStyle w:val="ListParagraph"/>
        <w:numPr>
          <w:ilvl w:val="0"/>
          <w:numId w:val="6"/>
        </w:numPr>
        <w:bidi/>
        <w:jc w:val="both"/>
        <w:rPr>
          <w:rFonts w:ascii="Simplified Arabic" w:hAnsi="Simplified Arabic" w:cs="Simplified Arabic"/>
          <w:sz w:val="28"/>
          <w:szCs w:val="28"/>
          <w:rtl/>
        </w:rPr>
      </w:pPr>
      <w:r w:rsidRPr="002F2F4D">
        <w:rPr>
          <w:rFonts w:ascii="Simplified Arabic" w:hAnsi="Simplified Arabic" w:cs="Simplified Arabic" w:hint="cs"/>
          <w:b/>
          <w:bCs/>
          <w:sz w:val="28"/>
          <w:szCs w:val="28"/>
          <w:rtl/>
        </w:rPr>
        <w:t>مخالفة أحكام المادة 83 من الدستور</w:t>
      </w:r>
      <w:r w:rsidRPr="00674F35">
        <w:rPr>
          <w:rFonts w:ascii="Simplified Arabic" w:hAnsi="Simplified Arabic" w:cs="Simplified Arabic" w:hint="cs"/>
          <w:sz w:val="28"/>
          <w:szCs w:val="28"/>
          <w:rtl/>
        </w:rPr>
        <w:t xml:space="preserve"> إذ أن هذه الموازنة ليست شاملة نفقات الدولة ودخلها فهي لا تتضمن الواردات الإستثنائية أي القروض المعقودة مع الغير وهي لا تتضمن فوائد الدين العام على السندات بالعملة الأجنبية، ولا يتضمن كامل الإيجارات المستحقة على الدولة ولا يتضمن كامل المتأخرات على الدولة وهي لا تتضمن أيضاً مشاريع النفقات الحقيقية لحوالي 120 جهة لها علاقة بالموازنة العامة.</w:t>
      </w:r>
    </w:p>
    <w:p w14:paraId="3BDD479F" w14:textId="77777777" w:rsidR="00674F35" w:rsidRDefault="00674F35" w:rsidP="002F2F4D">
      <w:pPr>
        <w:pStyle w:val="ListParagraph"/>
        <w:numPr>
          <w:ilvl w:val="0"/>
          <w:numId w:val="6"/>
        </w:numPr>
        <w:bidi/>
        <w:jc w:val="both"/>
        <w:rPr>
          <w:rFonts w:ascii="Simplified Arabic" w:hAnsi="Simplified Arabic" w:cs="Simplified Arabic"/>
          <w:sz w:val="28"/>
          <w:szCs w:val="28"/>
        </w:rPr>
      </w:pPr>
      <w:r w:rsidRPr="002F2F4D">
        <w:rPr>
          <w:rFonts w:ascii="Simplified Arabic" w:hAnsi="Simplified Arabic" w:cs="Simplified Arabic" w:hint="cs"/>
          <w:b/>
          <w:bCs/>
          <w:sz w:val="28"/>
          <w:szCs w:val="28"/>
          <w:rtl/>
        </w:rPr>
        <w:t>مخالفة أحكام المادة 87 من الدستور</w:t>
      </w:r>
      <w:r>
        <w:rPr>
          <w:rFonts w:ascii="Simplified Arabic" w:hAnsi="Simplified Arabic" w:cs="Simplified Arabic" w:hint="cs"/>
          <w:sz w:val="28"/>
          <w:szCs w:val="28"/>
          <w:rtl/>
        </w:rPr>
        <w:t xml:space="preserve"> </w:t>
      </w:r>
      <w:r w:rsidR="002F2F4D">
        <w:rPr>
          <w:rFonts w:ascii="Simplified Arabic" w:hAnsi="Simplified Arabic" w:cs="Simplified Arabic" w:hint="cs"/>
          <w:sz w:val="28"/>
          <w:szCs w:val="28"/>
          <w:rtl/>
        </w:rPr>
        <w:t>إ</w:t>
      </w:r>
      <w:r>
        <w:rPr>
          <w:rFonts w:ascii="Simplified Arabic" w:hAnsi="Simplified Arabic" w:cs="Simplified Arabic" w:hint="cs"/>
          <w:sz w:val="28"/>
          <w:szCs w:val="28"/>
          <w:rtl/>
        </w:rPr>
        <w:t xml:space="preserve">ذ أن الحكومة لم تقر </w:t>
      </w:r>
      <w:r w:rsidR="002F2F4D">
        <w:rPr>
          <w:rFonts w:ascii="Simplified Arabic" w:hAnsi="Simplified Arabic" w:cs="Simplified Arabic" w:hint="cs"/>
          <w:sz w:val="28"/>
          <w:szCs w:val="28"/>
          <w:rtl/>
        </w:rPr>
        <w:t>ال</w:t>
      </w:r>
      <w:r>
        <w:rPr>
          <w:rFonts w:ascii="Simplified Arabic" w:hAnsi="Simplified Arabic" w:cs="Simplified Arabic" w:hint="cs"/>
          <w:sz w:val="28"/>
          <w:szCs w:val="28"/>
          <w:rtl/>
        </w:rPr>
        <w:t>حسابات المالية النهائية منذ العام 2004 ولغاية تاريخه أي مدة 24 سنة .</w:t>
      </w:r>
    </w:p>
    <w:p w14:paraId="33116831" w14:textId="77777777" w:rsidR="006C6F9D" w:rsidRDefault="006C6F9D" w:rsidP="006C6F9D">
      <w:pPr>
        <w:pStyle w:val="ListParagraph"/>
        <w:numPr>
          <w:ilvl w:val="0"/>
          <w:numId w:val="6"/>
        </w:numPr>
        <w:bidi/>
        <w:jc w:val="both"/>
        <w:rPr>
          <w:rFonts w:ascii="Simplified Arabic" w:hAnsi="Simplified Arabic" w:cs="Simplified Arabic"/>
          <w:sz w:val="28"/>
          <w:szCs w:val="28"/>
        </w:rPr>
      </w:pPr>
    </w:p>
    <w:p w14:paraId="3DD6F9F1" w14:textId="77777777" w:rsidR="004A28D2" w:rsidRDefault="004A28D2" w:rsidP="004A28D2">
      <w:pPr>
        <w:pStyle w:val="ListParagraph"/>
        <w:numPr>
          <w:ilvl w:val="0"/>
          <w:numId w:val="6"/>
        </w:numPr>
        <w:bidi/>
        <w:jc w:val="both"/>
        <w:rPr>
          <w:rFonts w:ascii="Simplified Arabic" w:hAnsi="Simplified Arabic" w:cs="Simplified Arabic"/>
          <w:sz w:val="28"/>
          <w:szCs w:val="28"/>
        </w:rPr>
      </w:pPr>
      <w:r w:rsidRPr="002F2F4D">
        <w:rPr>
          <w:rFonts w:ascii="Simplified Arabic" w:hAnsi="Simplified Arabic" w:cs="Simplified Arabic" w:hint="cs"/>
          <w:b/>
          <w:bCs/>
          <w:sz w:val="28"/>
          <w:szCs w:val="28"/>
          <w:rtl/>
        </w:rPr>
        <w:t>مخالفة أحكام قانون المحاسبة العمومية</w:t>
      </w:r>
      <w:r>
        <w:rPr>
          <w:rFonts w:ascii="Simplified Arabic" w:hAnsi="Simplified Arabic" w:cs="Simplified Arabic" w:hint="cs"/>
          <w:sz w:val="28"/>
          <w:szCs w:val="28"/>
          <w:rtl/>
        </w:rPr>
        <w:t>:</w:t>
      </w:r>
    </w:p>
    <w:p w14:paraId="7B3F59BB" w14:textId="77777777" w:rsidR="004A28D2" w:rsidRDefault="004A28D2" w:rsidP="004A28D2">
      <w:pPr>
        <w:pStyle w:val="ListParagraph"/>
        <w:numPr>
          <w:ilvl w:val="0"/>
          <w:numId w:val="7"/>
        </w:numPr>
        <w:bidi/>
        <w:jc w:val="both"/>
        <w:rPr>
          <w:rFonts w:ascii="Simplified Arabic" w:hAnsi="Simplified Arabic" w:cs="Simplified Arabic"/>
          <w:sz w:val="28"/>
          <w:szCs w:val="28"/>
        </w:rPr>
      </w:pPr>
      <w:r>
        <w:rPr>
          <w:rFonts w:ascii="Simplified Arabic" w:hAnsi="Simplified Arabic" w:cs="Simplified Arabic" w:hint="cs"/>
          <w:sz w:val="28"/>
          <w:szCs w:val="28"/>
          <w:rtl/>
        </w:rPr>
        <w:lastRenderedPageBreak/>
        <w:t>مخالفة أحكام المادة 13 من قانون المحاسبة العمومية حيث يتوجب على كل وزير وضع مشروع نفقات وزارته عن السنة التالية ، وهذا أمر لم يحصل  باعتراف معدو تقرير الموازنة.</w:t>
      </w:r>
    </w:p>
    <w:p w14:paraId="48624A34" w14:textId="77777777" w:rsidR="004A28D2" w:rsidRDefault="004A28D2" w:rsidP="004A28D2">
      <w:pPr>
        <w:pStyle w:val="ListParagraph"/>
        <w:numPr>
          <w:ilvl w:val="0"/>
          <w:numId w:val="7"/>
        </w:numPr>
        <w:bidi/>
        <w:jc w:val="both"/>
        <w:rPr>
          <w:rFonts w:ascii="Simplified Arabic" w:hAnsi="Simplified Arabic" w:cs="Simplified Arabic"/>
          <w:sz w:val="28"/>
          <w:szCs w:val="28"/>
        </w:rPr>
      </w:pPr>
      <w:r>
        <w:rPr>
          <w:rFonts w:ascii="Simplified Arabic" w:hAnsi="Simplified Arabic" w:cs="Simplified Arabic" w:hint="cs"/>
          <w:sz w:val="28"/>
          <w:szCs w:val="28"/>
          <w:rtl/>
        </w:rPr>
        <w:t xml:space="preserve"> مخالفة أحكام المادة 15 من قانون المحاسبة العمومية التي نصت على ما يلي : "تقدير واردات</w:t>
      </w:r>
      <w:r w:rsidR="00B82628">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السنة الجديدة إستناداً الى العنصرين التاليين:</w:t>
      </w:r>
    </w:p>
    <w:p w14:paraId="7DC57CB0" w14:textId="77777777" w:rsidR="004A28D2" w:rsidRDefault="004A28D2" w:rsidP="004A28D2">
      <w:pPr>
        <w:pStyle w:val="ListParagraph"/>
        <w:numPr>
          <w:ilvl w:val="0"/>
          <w:numId w:val="5"/>
        </w:numPr>
        <w:bidi/>
        <w:jc w:val="both"/>
        <w:rPr>
          <w:rFonts w:ascii="Simplified Arabic" w:hAnsi="Simplified Arabic" w:cs="Simplified Arabic"/>
          <w:sz w:val="28"/>
          <w:szCs w:val="28"/>
        </w:rPr>
      </w:pPr>
      <w:r>
        <w:rPr>
          <w:rFonts w:ascii="Simplified Arabic" w:hAnsi="Simplified Arabic" w:cs="Simplified Arabic" w:hint="cs"/>
          <w:sz w:val="28"/>
          <w:szCs w:val="28"/>
          <w:rtl/>
        </w:rPr>
        <w:t>تحصيلات السنة الأخيرة التي أنجز مشروع قطع حسابها.</w:t>
      </w:r>
    </w:p>
    <w:p w14:paraId="1C4D56F0" w14:textId="77777777" w:rsidR="004A28D2" w:rsidRDefault="004A28D2" w:rsidP="004A28D2">
      <w:pPr>
        <w:pStyle w:val="ListParagraph"/>
        <w:numPr>
          <w:ilvl w:val="0"/>
          <w:numId w:val="5"/>
        </w:numPr>
        <w:bidi/>
        <w:jc w:val="both"/>
        <w:rPr>
          <w:rFonts w:ascii="Simplified Arabic" w:hAnsi="Simplified Arabic" w:cs="Simplified Arabic"/>
          <w:sz w:val="28"/>
          <w:szCs w:val="28"/>
        </w:rPr>
      </w:pPr>
      <w:r>
        <w:rPr>
          <w:rFonts w:ascii="Simplified Arabic" w:hAnsi="Simplified Arabic" w:cs="Simplified Arabic" w:hint="cs"/>
          <w:sz w:val="28"/>
          <w:szCs w:val="28"/>
          <w:rtl/>
        </w:rPr>
        <w:t>تحصيلات الأشهر المنصرفة من السنة الجارية .</w:t>
      </w:r>
    </w:p>
    <w:p w14:paraId="5E0CF759" w14:textId="77777777" w:rsidR="004A28D2" w:rsidRPr="002F2F4D" w:rsidRDefault="004A28D2" w:rsidP="002F2F4D">
      <w:pPr>
        <w:bidi/>
        <w:ind w:left="360"/>
        <w:jc w:val="both"/>
        <w:rPr>
          <w:rFonts w:ascii="Simplified Arabic" w:hAnsi="Simplified Arabic" w:cs="Simplified Arabic"/>
          <w:sz w:val="28"/>
          <w:szCs w:val="28"/>
        </w:rPr>
      </w:pPr>
      <w:r w:rsidRPr="002F2F4D">
        <w:rPr>
          <w:rFonts w:ascii="Simplified Arabic" w:hAnsi="Simplified Arabic" w:cs="Simplified Arabic" w:hint="cs"/>
          <w:sz w:val="28"/>
          <w:szCs w:val="28"/>
          <w:rtl/>
        </w:rPr>
        <w:t>ومن الثابت أن وزارة المالية لم تنجز قطع حساب سنة 2025 ولم ترفق بمشروع الموازنة تحصيلات الأشهر المنصرفة من سنة 2026 (من 1/1 حتى 31/8/2026).</w:t>
      </w:r>
    </w:p>
    <w:p w14:paraId="3279FA15" w14:textId="77777777" w:rsidR="004A28D2" w:rsidRDefault="004A28D2" w:rsidP="002F2F4D">
      <w:pPr>
        <w:pStyle w:val="ListParagraph"/>
        <w:numPr>
          <w:ilvl w:val="0"/>
          <w:numId w:val="6"/>
        </w:numPr>
        <w:bidi/>
        <w:jc w:val="both"/>
        <w:rPr>
          <w:rFonts w:ascii="Simplified Arabic" w:hAnsi="Simplified Arabic" w:cs="Simplified Arabic"/>
          <w:sz w:val="28"/>
          <w:szCs w:val="28"/>
        </w:rPr>
      </w:pPr>
      <w:r>
        <w:rPr>
          <w:rFonts w:ascii="Simplified Arabic" w:hAnsi="Simplified Arabic" w:cs="Simplified Arabic" w:hint="cs"/>
          <w:sz w:val="28"/>
          <w:szCs w:val="28"/>
          <w:rtl/>
        </w:rPr>
        <w:t>مخالفة أحكام المادتين 195 و197 من قانون المحاسبة العمومية اللت</w:t>
      </w:r>
      <w:r w:rsidR="002F2F4D">
        <w:rPr>
          <w:rFonts w:ascii="Simplified Arabic" w:hAnsi="Simplified Arabic" w:cs="Simplified Arabic" w:hint="cs"/>
          <w:sz w:val="28"/>
          <w:szCs w:val="28"/>
          <w:rtl/>
        </w:rPr>
        <w:t>ي</w:t>
      </w:r>
      <w:r>
        <w:rPr>
          <w:rFonts w:ascii="Simplified Arabic" w:hAnsi="Simplified Arabic" w:cs="Simplified Arabic" w:hint="cs"/>
          <w:sz w:val="28"/>
          <w:szCs w:val="28"/>
          <w:rtl/>
        </w:rPr>
        <w:t xml:space="preserve">ن قضيتا بأن تضع وزارة المالية </w:t>
      </w:r>
      <w:r w:rsidR="00BF0CE8">
        <w:rPr>
          <w:rFonts w:ascii="Simplified Arabic" w:hAnsi="Simplified Arabic" w:cs="Simplified Arabic" w:hint="cs"/>
          <w:sz w:val="28"/>
          <w:szCs w:val="28"/>
          <w:rtl/>
        </w:rPr>
        <w:t>كل سنة :</w:t>
      </w:r>
    </w:p>
    <w:p w14:paraId="0C7BCEED" w14:textId="77777777" w:rsidR="00BF0CE8" w:rsidRDefault="00BF0CE8" w:rsidP="00624F61">
      <w:pPr>
        <w:pStyle w:val="ListParagraph"/>
        <w:bidi/>
        <w:ind w:left="735"/>
        <w:jc w:val="both"/>
        <w:rPr>
          <w:rFonts w:ascii="Simplified Arabic" w:hAnsi="Simplified Arabic" w:cs="Simplified Arabic"/>
          <w:sz w:val="28"/>
          <w:szCs w:val="28"/>
        </w:rPr>
      </w:pPr>
      <w:r>
        <w:rPr>
          <w:rFonts w:ascii="Simplified Arabic" w:hAnsi="Simplified Arabic" w:cs="Simplified Arabic" w:hint="cs"/>
          <w:sz w:val="28"/>
          <w:szCs w:val="28"/>
          <w:rtl/>
        </w:rPr>
        <w:t>- قطع حساب الموازنة الذي يجب تقديمه الى ديوان المحاسبة قبل 15 آب من السنة التي يلي سنة الموازنة.</w:t>
      </w:r>
    </w:p>
    <w:p w14:paraId="04BDFEAB" w14:textId="77777777" w:rsidR="00BF0CE8" w:rsidRDefault="00624F61" w:rsidP="00624F61">
      <w:pPr>
        <w:pStyle w:val="ListParagraph"/>
        <w:bidi/>
        <w:ind w:left="735"/>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BF0CE8">
        <w:rPr>
          <w:rFonts w:ascii="Simplified Arabic" w:hAnsi="Simplified Arabic" w:cs="Simplified Arabic" w:hint="cs"/>
          <w:sz w:val="28"/>
          <w:szCs w:val="28"/>
          <w:rtl/>
        </w:rPr>
        <w:t>حساب المهمة العام الذي يجب تقديمه الى ديوان المحاسبة قبل أول أيلول من السنة التي تلي سنة الحساب.</w:t>
      </w:r>
    </w:p>
    <w:p w14:paraId="07DF8BD0" w14:textId="77777777" w:rsidR="00624F61" w:rsidRDefault="00624F61" w:rsidP="00624F61">
      <w:pPr>
        <w:pStyle w:val="ListParagraph"/>
        <w:bidi/>
        <w:ind w:left="735"/>
        <w:jc w:val="both"/>
        <w:rPr>
          <w:rFonts w:ascii="Simplified Arabic" w:hAnsi="Simplified Arabic" w:cs="Simplified Arabic"/>
          <w:sz w:val="28"/>
          <w:szCs w:val="28"/>
          <w:rtl/>
        </w:rPr>
      </w:pPr>
      <w:r>
        <w:rPr>
          <w:rFonts w:ascii="Simplified Arabic" w:hAnsi="Simplified Arabic" w:cs="Simplified Arabic" w:hint="cs"/>
          <w:sz w:val="28"/>
          <w:szCs w:val="28"/>
          <w:rtl/>
        </w:rPr>
        <w:t>وعلى الحكومة أن تحيل مشروع قانون قطع حساب الموازنة الى مجلس النواب قبل أول تشرين الثاني من السنة التي تلي سنة الموازنة.</w:t>
      </w:r>
    </w:p>
    <w:p w14:paraId="26036C0D" w14:textId="77777777" w:rsidR="00624F61" w:rsidRDefault="00624F61" w:rsidP="002F2F4D">
      <w:pPr>
        <w:pStyle w:val="ListParagraph"/>
        <w:bidi/>
        <w:ind w:left="735"/>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إنه من الثابت أن الحكومة لم تحيل الى مجلس النواب قطوعات الحسابات وحسابات المهمة منذ العام 2004 وحتى العام 2025 ، وذلك بالرغم من مخالفته للدستور فإن هذا الأمر </w:t>
      </w:r>
      <w:r w:rsidRPr="002F2F4D">
        <w:rPr>
          <w:rFonts w:ascii="Simplified Arabic" w:hAnsi="Simplified Arabic" w:cs="Simplified Arabic" w:hint="cs"/>
          <w:b/>
          <w:bCs/>
          <w:sz w:val="28"/>
          <w:szCs w:val="28"/>
          <w:rtl/>
        </w:rPr>
        <w:t>يعطل عمل السلطة الإشتراعية</w:t>
      </w:r>
      <w:r>
        <w:rPr>
          <w:rFonts w:ascii="Simplified Arabic" w:hAnsi="Simplified Arabic" w:cs="Simplified Arabic" w:hint="cs"/>
          <w:sz w:val="28"/>
          <w:szCs w:val="28"/>
          <w:rtl/>
        </w:rPr>
        <w:t xml:space="preserve">  من ناحية </w:t>
      </w:r>
      <w:r w:rsidRPr="002F2F4D">
        <w:rPr>
          <w:rFonts w:ascii="Simplified Arabic" w:hAnsi="Simplified Arabic" w:cs="Simplified Arabic" w:hint="cs"/>
          <w:b/>
          <w:bCs/>
          <w:sz w:val="28"/>
          <w:szCs w:val="28"/>
          <w:rtl/>
        </w:rPr>
        <w:t>وصلاحية رئيس الجمهورية</w:t>
      </w:r>
      <w:r>
        <w:rPr>
          <w:rFonts w:ascii="Simplified Arabic" w:hAnsi="Simplified Arabic" w:cs="Simplified Arabic" w:hint="cs"/>
          <w:sz w:val="28"/>
          <w:szCs w:val="28"/>
          <w:rtl/>
        </w:rPr>
        <w:t xml:space="preserve"> من ناحية أخرى ، ذلك أن مجلس النواب يصدق أولاً على قانون قطع الحساب </w:t>
      </w:r>
      <w:r w:rsidR="00A87564">
        <w:rPr>
          <w:rFonts w:ascii="Simplified Arabic" w:hAnsi="Simplified Arabic" w:cs="Simplified Arabic" w:hint="cs"/>
          <w:sz w:val="28"/>
          <w:szCs w:val="28"/>
          <w:rtl/>
        </w:rPr>
        <w:t>ثم على موازنة النفقات ثم قانون الموازنة وفي النهاية على موازنة الواردات، أما لناحية رئيس الجمهورية فهو وفقاً لأحكام المادة 56 من الدستور</w:t>
      </w:r>
      <w:r w:rsidR="002F2F4D">
        <w:rPr>
          <w:rFonts w:ascii="Simplified Arabic" w:hAnsi="Simplified Arabic" w:cs="Simplified Arabic" w:hint="cs"/>
          <w:sz w:val="28"/>
          <w:szCs w:val="28"/>
          <w:rtl/>
        </w:rPr>
        <w:t xml:space="preserve"> </w:t>
      </w:r>
      <w:r w:rsidR="00A87564">
        <w:rPr>
          <w:rFonts w:ascii="Simplified Arabic" w:hAnsi="Simplified Arabic" w:cs="Simplified Arabic" w:hint="cs"/>
          <w:sz w:val="28"/>
          <w:szCs w:val="28"/>
          <w:rtl/>
        </w:rPr>
        <w:t xml:space="preserve">يصدر القوانين التي تمت عليها الموافقة النهائية خلال شهر بعد </w:t>
      </w:r>
      <w:r w:rsidR="002F2F4D">
        <w:rPr>
          <w:rFonts w:ascii="Simplified Arabic" w:hAnsi="Simplified Arabic" w:cs="Simplified Arabic" w:hint="cs"/>
          <w:sz w:val="28"/>
          <w:szCs w:val="28"/>
          <w:rtl/>
        </w:rPr>
        <w:t xml:space="preserve">إحالتها الى الحكومة ويطلب نشرها، </w:t>
      </w:r>
      <w:r w:rsidR="00A87564">
        <w:rPr>
          <w:rFonts w:ascii="Simplified Arabic" w:hAnsi="Simplified Arabic" w:cs="Simplified Arabic" w:hint="cs"/>
          <w:sz w:val="28"/>
          <w:szCs w:val="28"/>
          <w:rtl/>
        </w:rPr>
        <w:t>والمادة 87 من الدستور أوجبت أن تعرض حسابات الإدارة المالية النهائية (قطع الحساب) لكل سنة على المجلس ليوافق عليها قبل نشر موازنة السنة الثانية التي تلي تلك السنة.</w:t>
      </w:r>
    </w:p>
    <w:p w14:paraId="6C54FF1E" w14:textId="77777777" w:rsidR="00A87564" w:rsidRDefault="00A87564" w:rsidP="002F2F4D">
      <w:pPr>
        <w:pStyle w:val="ListParagraph"/>
        <w:bidi/>
        <w:ind w:left="735"/>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وعليه فإن ت</w:t>
      </w:r>
      <w:r w:rsidR="002F2F4D">
        <w:rPr>
          <w:rFonts w:ascii="Simplified Arabic" w:hAnsi="Simplified Arabic" w:cs="Simplified Arabic" w:hint="cs"/>
          <w:sz w:val="28"/>
          <w:szCs w:val="28"/>
          <w:rtl/>
        </w:rPr>
        <w:t>ق</w:t>
      </w:r>
      <w:r>
        <w:rPr>
          <w:rFonts w:ascii="Simplified Arabic" w:hAnsi="Simplified Arabic" w:cs="Simplified Arabic" w:hint="cs"/>
          <w:sz w:val="28"/>
          <w:szCs w:val="28"/>
          <w:rtl/>
        </w:rPr>
        <w:t>صير وزارة المالية والحكومة في إعداد قطوعات الحسابات يعطل عمل مجلس النواب وصلاحيات رئيس الجمهورية .</w:t>
      </w:r>
    </w:p>
    <w:p w14:paraId="13CC1E48" w14:textId="77777777" w:rsidR="00A87564" w:rsidRDefault="00A87564" w:rsidP="005773B2">
      <w:pPr>
        <w:pStyle w:val="ListParagraph"/>
        <w:numPr>
          <w:ilvl w:val="0"/>
          <w:numId w:val="6"/>
        </w:numPr>
        <w:bidi/>
        <w:jc w:val="both"/>
        <w:rPr>
          <w:rFonts w:ascii="Simplified Arabic" w:hAnsi="Simplified Arabic" w:cs="Simplified Arabic"/>
          <w:sz w:val="28"/>
          <w:szCs w:val="28"/>
        </w:rPr>
      </w:pPr>
      <w:r>
        <w:rPr>
          <w:rFonts w:ascii="Simplified Arabic" w:hAnsi="Simplified Arabic" w:cs="Simplified Arabic" w:hint="cs"/>
          <w:sz w:val="28"/>
          <w:szCs w:val="28"/>
          <w:rtl/>
        </w:rPr>
        <w:t xml:space="preserve">موازنة 2027 </w:t>
      </w:r>
      <w:r w:rsidRPr="005773B2">
        <w:rPr>
          <w:rFonts w:ascii="Simplified Arabic" w:hAnsi="Simplified Arabic" w:cs="Simplified Arabic" w:hint="cs"/>
          <w:b/>
          <w:bCs/>
          <w:sz w:val="28"/>
          <w:szCs w:val="28"/>
          <w:rtl/>
        </w:rPr>
        <w:t>ليست موازنة حماية إجتماعية</w:t>
      </w:r>
      <w:r>
        <w:rPr>
          <w:rFonts w:ascii="Simplified Arabic" w:hAnsi="Simplified Arabic" w:cs="Simplified Arabic" w:hint="cs"/>
          <w:sz w:val="28"/>
          <w:szCs w:val="28"/>
          <w:rtl/>
        </w:rPr>
        <w:t xml:space="preserve"> بل هي إفقار وتهميش والدليل على ذلك بأن الإتفاق على حماية البي</w:t>
      </w:r>
      <w:r w:rsidR="005773B2">
        <w:rPr>
          <w:rFonts w:ascii="Simplified Arabic" w:hAnsi="Simplified Arabic" w:cs="Simplified Arabic" w:hint="cs"/>
          <w:sz w:val="28"/>
          <w:szCs w:val="28"/>
          <w:rtl/>
        </w:rPr>
        <w:t>ئ</w:t>
      </w:r>
      <w:r>
        <w:rPr>
          <w:rFonts w:ascii="Simplified Arabic" w:hAnsi="Simplified Arabic" w:cs="Simplified Arabic" w:hint="cs"/>
          <w:sz w:val="28"/>
          <w:szCs w:val="28"/>
          <w:rtl/>
        </w:rPr>
        <w:t>ة والإسكان والصحة والتعليم والحماية الإجتماعية (ومن ضمنها معاشات التقاعد وتعويضات نهاية الخدمة) بلغت في موازنة 2027</w:t>
      </w:r>
      <w:r w:rsidR="005773B2">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مبلغ 346 ألف مليار ل.ل مقابل 256 ألف مليار ل.ل بزيادة قدرها 90 ألف مليار ل.ل في حين أن الزيادة في الضرائب والرسوم بلغت عام 2027 عن عام 2026 حوالي 77 ألف مليار فيكون صافي الزيادة في الحماية الإجتماعية 13 ألف مليار ل.ل ونسبتها 2.11% فقط . علماً بأن معظم هذه الزيادة تعود الى زيادة معاشات التقاعد للمدنيين والعسكريين والمقدرة بحوالي 20 ألف </w:t>
      </w:r>
      <w:r w:rsidR="00DD715B">
        <w:rPr>
          <w:rFonts w:ascii="Simplified Arabic" w:hAnsi="Simplified Arabic" w:cs="Simplified Arabic" w:hint="cs"/>
          <w:sz w:val="28"/>
          <w:szCs w:val="28"/>
          <w:rtl/>
        </w:rPr>
        <w:t>وهو موضوع إحتجاج واعتصامات في الشارع .</w:t>
      </w:r>
    </w:p>
    <w:p w14:paraId="18B277B7" w14:textId="77777777" w:rsidR="00DD715B" w:rsidRDefault="00DD715B" w:rsidP="005773B2">
      <w:pPr>
        <w:pStyle w:val="ListParagraph"/>
        <w:numPr>
          <w:ilvl w:val="0"/>
          <w:numId w:val="6"/>
        </w:numPr>
        <w:bidi/>
        <w:jc w:val="both"/>
        <w:rPr>
          <w:rFonts w:ascii="Simplified Arabic" w:hAnsi="Simplified Arabic" w:cs="Simplified Arabic"/>
          <w:sz w:val="28"/>
          <w:szCs w:val="28"/>
        </w:rPr>
      </w:pPr>
      <w:r>
        <w:rPr>
          <w:rFonts w:ascii="Simplified Arabic" w:hAnsi="Simplified Arabic" w:cs="Simplified Arabic" w:hint="cs"/>
          <w:sz w:val="28"/>
          <w:szCs w:val="28"/>
          <w:rtl/>
        </w:rPr>
        <w:t xml:space="preserve">موازنة 2027 </w:t>
      </w:r>
      <w:r w:rsidRPr="005773B2">
        <w:rPr>
          <w:rFonts w:ascii="Simplified Arabic" w:hAnsi="Simplified Arabic" w:cs="Simplified Arabic" w:hint="cs"/>
          <w:b/>
          <w:bCs/>
          <w:sz w:val="28"/>
          <w:szCs w:val="28"/>
          <w:rtl/>
        </w:rPr>
        <w:t>كابحة للنمو</w:t>
      </w:r>
      <w:r>
        <w:rPr>
          <w:rFonts w:ascii="Simplified Arabic" w:hAnsi="Simplified Arabic" w:cs="Simplified Arabic" w:hint="cs"/>
          <w:sz w:val="28"/>
          <w:szCs w:val="28"/>
          <w:rtl/>
        </w:rPr>
        <w:t xml:space="preserve"> وليست داعمة له كما يدعي معدو الموازنة ذلك أن ما خصص للإنفاق الإستثماري بلغ 66.634 مليار ل.ل ما يعادل 10.83% من إجمالي الموازنة . وهذا الإنفاق يشمل 1066 مليار إستملاكات ، و10178 مليار تجهيزات </w:t>
      </w:r>
      <w:r w:rsidR="003262FB">
        <w:rPr>
          <w:rFonts w:ascii="Simplified Arabic" w:hAnsi="Simplified Arabic" w:cs="Simplified Arabic" w:hint="cs"/>
          <w:sz w:val="28"/>
          <w:szCs w:val="28"/>
          <w:rtl/>
        </w:rPr>
        <w:t>(أثاث وتجهيزات فنية) و23.450 مليار للإنشاءات (إنشاءات أبنية إدارية ، إنشاءات مائية وكهربائية) و30.498 مليار صيانة طرق وأبنية وإنشاءات ووسائل نقل ، و1269 مليار مخصصة للدروس والإنشاءات .</w:t>
      </w:r>
    </w:p>
    <w:p w14:paraId="11A76CDE" w14:textId="77777777" w:rsidR="003262FB" w:rsidRDefault="003262FB" w:rsidP="003262FB">
      <w:pPr>
        <w:pStyle w:val="ListParagraph"/>
        <w:bidi/>
        <w:ind w:left="540"/>
        <w:jc w:val="both"/>
        <w:rPr>
          <w:rFonts w:ascii="Simplified Arabic" w:hAnsi="Simplified Arabic" w:cs="Simplified Arabic"/>
          <w:sz w:val="28"/>
          <w:szCs w:val="28"/>
          <w:rtl/>
        </w:rPr>
      </w:pPr>
      <w:r>
        <w:rPr>
          <w:rFonts w:ascii="Simplified Arabic" w:hAnsi="Simplified Arabic" w:cs="Simplified Arabic" w:hint="cs"/>
          <w:sz w:val="28"/>
          <w:szCs w:val="28"/>
          <w:rtl/>
        </w:rPr>
        <w:t>وهكذا يتبين أن الإنفاق الإستثماري نصفه صيانة للأصول الموجودة ولا يتضمن مشاريع إنتاجية (</w:t>
      </w:r>
      <w:r w:rsidR="005773B2">
        <w:rPr>
          <w:rFonts w:ascii="Simplified Arabic" w:hAnsi="Simplified Arabic" w:cs="Simplified Arabic" w:hint="cs"/>
          <w:sz w:val="28"/>
          <w:szCs w:val="28"/>
          <w:rtl/>
        </w:rPr>
        <w:t>لا سيما معامل للمياه والكهرباء).</w:t>
      </w:r>
    </w:p>
    <w:p w14:paraId="5F083BC4" w14:textId="77777777" w:rsidR="00C61B34" w:rsidRDefault="003262FB" w:rsidP="006C6F9D">
      <w:pPr>
        <w:pStyle w:val="ListParagraph"/>
        <w:bidi/>
        <w:ind w:left="54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إستناداً الى ما تقدم فإن موازنة 2027 لا تشكل </w:t>
      </w:r>
      <w:r w:rsidR="00D0795C">
        <w:rPr>
          <w:rFonts w:ascii="Simplified Arabic" w:hAnsi="Simplified Arabic" w:cs="Simplified Arabic" w:hint="cs"/>
          <w:sz w:val="28"/>
          <w:szCs w:val="28"/>
          <w:rtl/>
        </w:rPr>
        <w:t xml:space="preserve">تهيئة للإنتقال من الأزمة الى التعافي بل استمرار لرقص السلطة في حلقة الأزمة المفرعة فلا </w:t>
      </w:r>
      <w:r w:rsidR="00D0795C" w:rsidRPr="005773B2">
        <w:rPr>
          <w:rFonts w:ascii="Simplified Arabic" w:hAnsi="Simplified Arabic" w:cs="Simplified Arabic" w:hint="cs"/>
          <w:b/>
          <w:bCs/>
          <w:sz w:val="28"/>
          <w:szCs w:val="28"/>
          <w:rtl/>
        </w:rPr>
        <w:t xml:space="preserve">أبواب مفتوحة بل </w:t>
      </w:r>
      <w:r w:rsidR="005773B2" w:rsidRPr="005773B2">
        <w:rPr>
          <w:rFonts w:ascii="Simplified Arabic" w:hAnsi="Simplified Arabic" w:cs="Simplified Arabic" w:hint="cs"/>
          <w:b/>
          <w:bCs/>
          <w:sz w:val="28"/>
          <w:szCs w:val="28"/>
          <w:rtl/>
        </w:rPr>
        <w:t>أ</w:t>
      </w:r>
      <w:r w:rsidR="00D0795C" w:rsidRPr="005773B2">
        <w:rPr>
          <w:rFonts w:ascii="Simplified Arabic" w:hAnsi="Simplified Arabic" w:cs="Simplified Arabic" w:hint="cs"/>
          <w:b/>
          <w:bCs/>
          <w:sz w:val="28"/>
          <w:szCs w:val="28"/>
          <w:rtl/>
        </w:rPr>
        <w:t>قفال صدئة للإنماء والبناء والإعمار</w:t>
      </w:r>
      <w:r w:rsidR="00D0795C">
        <w:rPr>
          <w:rFonts w:ascii="Simplified Arabic" w:hAnsi="Simplified Arabic" w:cs="Simplified Arabic" w:hint="cs"/>
          <w:sz w:val="28"/>
          <w:szCs w:val="28"/>
          <w:rtl/>
        </w:rPr>
        <w:t>.</w:t>
      </w:r>
    </w:p>
    <w:p w14:paraId="59E9B41B" w14:textId="77777777" w:rsidR="006C6F9D" w:rsidRDefault="006C6F9D" w:rsidP="006C6F9D">
      <w:pPr>
        <w:pStyle w:val="ListParagraph"/>
        <w:bidi/>
        <w:ind w:left="540"/>
        <w:jc w:val="both"/>
        <w:rPr>
          <w:rFonts w:ascii="Simplified Arabic" w:hAnsi="Simplified Arabic" w:cs="Simplified Arabic"/>
          <w:sz w:val="28"/>
          <w:szCs w:val="28"/>
          <w:rtl/>
        </w:rPr>
      </w:pPr>
    </w:p>
    <w:p w14:paraId="75AF4AD8" w14:textId="3F719690" w:rsidR="006C6F9D" w:rsidRPr="006C6F9D" w:rsidRDefault="006C6F9D" w:rsidP="006C6F9D">
      <w:pPr>
        <w:pStyle w:val="ListParagraph"/>
        <w:bidi/>
        <w:ind w:left="540"/>
        <w:jc w:val="both"/>
        <w:rPr>
          <w:rFonts w:ascii="Simplified Arabic" w:hAnsi="Simplified Arabic" w:cs="Simplified Arabic"/>
          <w:b/>
          <w:bCs/>
          <w:sz w:val="32"/>
          <w:szCs w:val="32"/>
          <w:rtl/>
        </w:rPr>
      </w:pPr>
      <w:r>
        <w:rPr>
          <w:rFonts w:ascii="Simplified Arabic" w:hAnsi="Simplified Arabic" w:cs="Simplified Arabic"/>
          <w:sz w:val="28"/>
          <w:szCs w:val="28"/>
          <w:rtl/>
        </w:rPr>
        <w:tab/>
      </w:r>
      <w:r>
        <w:rPr>
          <w:rFonts w:ascii="Simplified Arabic" w:hAnsi="Simplified Arabic" w:cs="Simplified Arabic"/>
          <w:sz w:val="28"/>
          <w:szCs w:val="28"/>
          <w:rtl/>
        </w:rPr>
        <w:tab/>
      </w:r>
      <w:r>
        <w:rPr>
          <w:rFonts w:ascii="Simplified Arabic" w:hAnsi="Simplified Arabic" w:cs="Simplified Arabic"/>
          <w:sz w:val="28"/>
          <w:szCs w:val="28"/>
          <w:rtl/>
        </w:rPr>
        <w:tab/>
      </w:r>
      <w:r>
        <w:rPr>
          <w:rFonts w:ascii="Simplified Arabic" w:hAnsi="Simplified Arabic" w:cs="Simplified Arabic"/>
          <w:sz w:val="28"/>
          <w:szCs w:val="28"/>
          <w:rtl/>
        </w:rPr>
        <w:tab/>
      </w:r>
      <w:r>
        <w:rPr>
          <w:rFonts w:ascii="Simplified Arabic" w:hAnsi="Simplified Arabic" w:cs="Simplified Arabic"/>
          <w:sz w:val="28"/>
          <w:szCs w:val="28"/>
          <w:rtl/>
        </w:rPr>
        <w:tab/>
      </w:r>
      <w:r>
        <w:rPr>
          <w:rFonts w:ascii="Simplified Arabic" w:hAnsi="Simplified Arabic" w:cs="Simplified Arabic"/>
          <w:sz w:val="28"/>
          <w:szCs w:val="28"/>
          <w:rtl/>
        </w:rPr>
        <w:tab/>
      </w:r>
      <w:r>
        <w:rPr>
          <w:rFonts w:ascii="Simplified Arabic" w:hAnsi="Simplified Arabic" w:cs="Simplified Arabic"/>
          <w:sz w:val="28"/>
          <w:szCs w:val="28"/>
          <w:rtl/>
        </w:rPr>
        <w:tab/>
      </w:r>
      <w:r>
        <w:rPr>
          <w:rFonts w:ascii="Simplified Arabic" w:hAnsi="Simplified Arabic" w:cs="Simplified Arabic"/>
          <w:sz w:val="28"/>
          <w:szCs w:val="28"/>
          <w:rtl/>
        </w:rPr>
        <w:tab/>
      </w:r>
      <w:r>
        <w:rPr>
          <w:rFonts w:ascii="Simplified Arabic" w:hAnsi="Simplified Arabic" w:cs="Simplified Arabic"/>
          <w:sz w:val="28"/>
          <w:szCs w:val="28"/>
          <w:rtl/>
        </w:rPr>
        <w:tab/>
      </w:r>
    </w:p>
    <w:sectPr w:rsidR="006C6F9D" w:rsidRPr="006C6F9D" w:rsidSect="005E27C0">
      <w:footerReference w:type="default" r:id="rId8"/>
      <w:foot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6990B" w14:textId="77777777" w:rsidR="00017F08" w:rsidRDefault="00017F08" w:rsidP="00CA1AEA">
      <w:pPr>
        <w:spacing w:after="0" w:line="240" w:lineRule="auto"/>
      </w:pPr>
      <w:r>
        <w:separator/>
      </w:r>
    </w:p>
  </w:endnote>
  <w:endnote w:type="continuationSeparator" w:id="0">
    <w:p w14:paraId="5D3C4673" w14:textId="77777777" w:rsidR="00017F08" w:rsidRDefault="00017F08" w:rsidP="00CA1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8286375"/>
      <w:docPartObj>
        <w:docPartGallery w:val="Page Numbers (Bottom of Page)"/>
        <w:docPartUnique/>
      </w:docPartObj>
    </w:sdtPr>
    <w:sdtEndPr>
      <w:rPr>
        <w:noProof/>
      </w:rPr>
    </w:sdtEndPr>
    <w:sdtContent>
      <w:p w14:paraId="0CF06D9F" w14:textId="77777777" w:rsidR="005E27C0" w:rsidRDefault="005E27C0">
        <w:pPr>
          <w:pStyle w:val="Footer"/>
          <w:jc w:val="center"/>
        </w:pPr>
        <w:r>
          <w:fldChar w:fldCharType="begin"/>
        </w:r>
        <w:r>
          <w:instrText xml:space="preserve"> PAGE   \* MERGEFORMAT </w:instrText>
        </w:r>
        <w:r>
          <w:fldChar w:fldCharType="separate"/>
        </w:r>
        <w:r w:rsidR="006C6F9D">
          <w:rPr>
            <w:noProof/>
          </w:rPr>
          <w:t>13</w:t>
        </w:r>
        <w:r>
          <w:rPr>
            <w:noProof/>
          </w:rPr>
          <w:fldChar w:fldCharType="end"/>
        </w:r>
      </w:p>
    </w:sdtContent>
  </w:sdt>
  <w:p w14:paraId="7EAA185E" w14:textId="77777777" w:rsidR="005E27C0" w:rsidRDefault="005E27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3828215"/>
      <w:docPartObj>
        <w:docPartGallery w:val="Page Numbers (Bottom of Page)"/>
        <w:docPartUnique/>
      </w:docPartObj>
    </w:sdtPr>
    <w:sdtEndPr>
      <w:rPr>
        <w:noProof/>
      </w:rPr>
    </w:sdtEndPr>
    <w:sdtContent>
      <w:p w14:paraId="66D67752" w14:textId="77777777" w:rsidR="00EB3D5B" w:rsidRDefault="00EB3D5B">
        <w:pPr>
          <w:pStyle w:val="Footer"/>
          <w:jc w:val="center"/>
        </w:pPr>
        <w:r>
          <w:fldChar w:fldCharType="begin"/>
        </w:r>
        <w:r>
          <w:instrText xml:space="preserve"> PAGE   \* MERGEFORMAT </w:instrText>
        </w:r>
        <w:r>
          <w:fldChar w:fldCharType="separate"/>
        </w:r>
        <w:r w:rsidR="005E27C0">
          <w:rPr>
            <w:noProof/>
          </w:rPr>
          <w:t>1</w:t>
        </w:r>
        <w:r>
          <w:rPr>
            <w:noProof/>
          </w:rPr>
          <w:fldChar w:fldCharType="end"/>
        </w:r>
      </w:p>
    </w:sdtContent>
  </w:sdt>
  <w:p w14:paraId="4CAC7F5F" w14:textId="77777777" w:rsidR="00EB3D5B" w:rsidRDefault="00EB3D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237A0" w14:textId="77777777" w:rsidR="00017F08" w:rsidRDefault="00017F08" w:rsidP="00CA1AEA">
      <w:pPr>
        <w:spacing w:after="0" w:line="240" w:lineRule="auto"/>
      </w:pPr>
      <w:r>
        <w:separator/>
      </w:r>
    </w:p>
  </w:footnote>
  <w:footnote w:type="continuationSeparator" w:id="0">
    <w:p w14:paraId="1BAF6C11" w14:textId="77777777" w:rsidR="00017F08" w:rsidRDefault="00017F08" w:rsidP="00CA1A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F431D"/>
    <w:multiLevelType w:val="hybridMultilevel"/>
    <w:tmpl w:val="3B34C7B2"/>
    <w:lvl w:ilvl="0" w:tplc="66A4087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11813A45"/>
    <w:multiLevelType w:val="hybridMultilevel"/>
    <w:tmpl w:val="92622A2A"/>
    <w:lvl w:ilvl="0" w:tplc="8286B1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544BD4"/>
    <w:multiLevelType w:val="hybridMultilevel"/>
    <w:tmpl w:val="BA6C68CC"/>
    <w:lvl w:ilvl="0" w:tplc="F1E44FEE">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C5E07FE"/>
    <w:multiLevelType w:val="hybridMultilevel"/>
    <w:tmpl w:val="4E00D544"/>
    <w:lvl w:ilvl="0" w:tplc="E67477FA">
      <w:start w:val="3"/>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2CB8535C"/>
    <w:multiLevelType w:val="hybridMultilevel"/>
    <w:tmpl w:val="38FA2BC0"/>
    <w:lvl w:ilvl="0" w:tplc="D7788DD2">
      <w:start w:val="27"/>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B746D4"/>
    <w:multiLevelType w:val="hybridMultilevel"/>
    <w:tmpl w:val="BFB4FDEE"/>
    <w:lvl w:ilvl="0" w:tplc="49EE8340">
      <w:start w:val="7"/>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B93E63"/>
    <w:multiLevelType w:val="hybridMultilevel"/>
    <w:tmpl w:val="4D705030"/>
    <w:lvl w:ilvl="0" w:tplc="C2BAD036">
      <w:start w:val="1"/>
      <w:numFmt w:val="arabicAlpha"/>
      <w:lvlText w:val="%1-"/>
      <w:lvlJc w:val="left"/>
      <w:pPr>
        <w:ind w:left="1095" w:hanging="360"/>
      </w:pPr>
      <w:rPr>
        <w:rFonts w:hint="default"/>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7" w15:restartNumberingAfterBreak="0">
    <w:nsid w:val="5C783ACA"/>
    <w:multiLevelType w:val="hybridMultilevel"/>
    <w:tmpl w:val="232CCC94"/>
    <w:lvl w:ilvl="0" w:tplc="FC8E8E00">
      <w:start w:val="1"/>
      <w:numFmt w:val="decimal"/>
      <w:lvlText w:val="%1-"/>
      <w:lvlJc w:val="left"/>
      <w:pPr>
        <w:ind w:left="735" w:hanging="375"/>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A07D51"/>
    <w:multiLevelType w:val="hybridMultilevel"/>
    <w:tmpl w:val="E6423588"/>
    <w:lvl w:ilvl="0" w:tplc="A76664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CC1931"/>
    <w:multiLevelType w:val="hybridMultilevel"/>
    <w:tmpl w:val="E79A8C14"/>
    <w:lvl w:ilvl="0" w:tplc="E0440D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2A2B17"/>
    <w:multiLevelType w:val="hybridMultilevel"/>
    <w:tmpl w:val="1E26FB38"/>
    <w:lvl w:ilvl="0" w:tplc="6414A8B2">
      <w:start w:val="1"/>
      <w:numFmt w:val="decimal"/>
      <w:lvlText w:val="%1-"/>
      <w:lvlJc w:val="left"/>
      <w:pPr>
        <w:ind w:left="54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1193302282">
    <w:abstractNumId w:val="8"/>
  </w:num>
  <w:num w:numId="2" w16cid:durableId="1635981347">
    <w:abstractNumId w:val="2"/>
  </w:num>
  <w:num w:numId="3" w16cid:durableId="1175342268">
    <w:abstractNumId w:val="10"/>
  </w:num>
  <w:num w:numId="4" w16cid:durableId="1699089117">
    <w:abstractNumId w:val="3"/>
  </w:num>
  <w:num w:numId="5" w16cid:durableId="1176967861">
    <w:abstractNumId w:val="5"/>
  </w:num>
  <w:num w:numId="6" w16cid:durableId="1046106288">
    <w:abstractNumId w:val="7"/>
  </w:num>
  <w:num w:numId="7" w16cid:durableId="1168792997">
    <w:abstractNumId w:val="6"/>
  </w:num>
  <w:num w:numId="8" w16cid:durableId="39059951">
    <w:abstractNumId w:val="0"/>
  </w:num>
  <w:num w:numId="9" w16cid:durableId="1543135098">
    <w:abstractNumId w:val="1"/>
  </w:num>
  <w:num w:numId="10" w16cid:durableId="382022643">
    <w:abstractNumId w:val="4"/>
  </w:num>
  <w:num w:numId="11" w16cid:durableId="3314164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94C"/>
    <w:rsid w:val="00006C8A"/>
    <w:rsid w:val="0001730F"/>
    <w:rsid w:val="00017F08"/>
    <w:rsid w:val="00090B01"/>
    <w:rsid w:val="000C565B"/>
    <w:rsid w:val="000E21E5"/>
    <w:rsid w:val="00123DD2"/>
    <w:rsid w:val="001340F7"/>
    <w:rsid w:val="00135358"/>
    <w:rsid w:val="00142C2B"/>
    <w:rsid w:val="00263A39"/>
    <w:rsid w:val="002A3B95"/>
    <w:rsid w:val="002F2F4D"/>
    <w:rsid w:val="003262FB"/>
    <w:rsid w:val="0032644B"/>
    <w:rsid w:val="00341C03"/>
    <w:rsid w:val="00375C2B"/>
    <w:rsid w:val="003A151B"/>
    <w:rsid w:val="003A4401"/>
    <w:rsid w:val="003A6A20"/>
    <w:rsid w:val="003D1A7C"/>
    <w:rsid w:val="003D1E09"/>
    <w:rsid w:val="00441C4D"/>
    <w:rsid w:val="004519FF"/>
    <w:rsid w:val="00457206"/>
    <w:rsid w:val="00462A67"/>
    <w:rsid w:val="004A28D2"/>
    <w:rsid w:val="00504301"/>
    <w:rsid w:val="005773B2"/>
    <w:rsid w:val="005E27C0"/>
    <w:rsid w:val="00606525"/>
    <w:rsid w:val="00624F61"/>
    <w:rsid w:val="0064037E"/>
    <w:rsid w:val="00643E6E"/>
    <w:rsid w:val="00674F35"/>
    <w:rsid w:val="006C6F9D"/>
    <w:rsid w:val="00756EE6"/>
    <w:rsid w:val="007B032A"/>
    <w:rsid w:val="007C394C"/>
    <w:rsid w:val="008103F8"/>
    <w:rsid w:val="008144FB"/>
    <w:rsid w:val="008452A6"/>
    <w:rsid w:val="008605B7"/>
    <w:rsid w:val="008644FE"/>
    <w:rsid w:val="00866C3E"/>
    <w:rsid w:val="008C2F3E"/>
    <w:rsid w:val="008C5C72"/>
    <w:rsid w:val="009369FF"/>
    <w:rsid w:val="009B46E9"/>
    <w:rsid w:val="009B5D2E"/>
    <w:rsid w:val="009C258E"/>
    <w:rsid w:val="00A05460"/>
    <w:rsid w:val="00A13EF5"/>
    <w:rsid w:val="00A57A58"/>
    <w:rsid w:val="00A87564"/>
    <w:rsid w:val="00AA0F50"/>
    <w:rsid w:val="00AA1211"/>
    <w:rsid w:val="00AB2D4E"/>
    <w:rsid w:val="00AF475B"/>
    <w:rsid w:val="00B37443"/>
    <w:rsid w:val="00B81F0F"/>
    <w:rsid w:val="00B82628"/>
    <w:rsid w:val="00B8546B"/>
    <w:rsid w:val="00B90FDE"/>
    <w:rsid w:val="00BD1170"/>
    <w:rsid w:val="00BD7521"/>
    <w:rsid w:val="00BE226C"/>
    <w:rsid w:val="00BE609B"/>
    <w:rsid w:val="00BE7AEE"/>
    <w:rsid w:val="00BF0CE8"/>
    <w:rsid w:val="00C26A21"/>
    <w:rsid w:val="00C61B34"/>
    <w:rsid w:val="00C813E6"/>
    <w:rsid w:val="00C876C9"/>
    <w:rsid w:val="00CA1AEA"/>
    <w:rsid w:val="00CB298C"/>
    <w:rsid w:val="00CF6211"/>
    <w:rsid w:val="00D0795C"/>
    <w:rsid w:val="00D143E7"/>
    <w:rsid w:val="00D158A9"/>
    <w:rsid w:val="00D17CC6"/>
    <w:rsid w:val="00D417F0"/>
    <w:rsid w:val="00D471BE"/>
    <w:rsid w:val="00D51A0D"/>
    <w:rsid w:val="00D7156D"/>
    <w:rsid w:val="00D87E0B"/>
    <w:rsid w:val="00DB19C8"/>
    <w:rsid w:val="00DD715B"/>
    <w:rsid w:val="00E17F6F"/>
    <w:rsid w:val="00E239F2"/>
    <w:rsid w:val="00E27325"/>
    <w:rsid w:val="00E460AD"/>
    <w:rsid w:val="00E71D19"/>
    <w:rsid w:val="00EB11F3"/>
    <w:rsid w:val="00EB347D"/>
    <w:rsid w:val="00EB3D5B"/>
    <w:rsid w:val="00EC4EC3"/>
    <w:rsid w:val="00F04DE2"/>
    <w:rsid w:val="00F24B68"/>
    <w:rsid w:val="00F33A70"/>
    <w:rsid w:val="00F41418"/>
    <w:rsid w:val="00FA644E"/>
    <w:rsid w:val="00FB6152"/>
    <w:rsid w:val="00FC4C19"/>
    <w:rsid w:val="00FD2E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FFB65"/>
  <w15:chartTrackingRefBased/>
  <w15:docId w15:val="{F2CC3E35-8470-4B62-9C49-C45C880DE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394C"/>
    <w:pPr>
      <w:ind w:left="720"/>
      <w:contextualSpacing/>
    </w:pPr>
  </w:style>
  <w:style w:type="paragraph" w:styleId="BalloonText">
    <w:name w:val="Balloon Text"/>
    <w:basedOn w:val="Normal"/>
    <w:link w:val="BalloonTextChar"/>
    <w:uiPriority w:val="99"/>
    <w:semiHidden/>
    <w:unhideWhenUsed/>
    <w:rsid w:val="00CA1A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1AEA"/>
    <w:rPr>
      <w:rFonts w:ascii="Segoe UI" w:hAnsi="Segoe UI" w:cs="Segoe UI"/>
      <w:sz w:val="18"/>
      <w:szCs w:val="18"/>
    </w:rPr>
  </w:style>
  <w:style w:type="paragraph" w:styleId="Header">
    <w:name w:val="header"/>
    <w:basedOn w:val="Normal"/>
    <w:link w:val="HeaderChar"/>
    <w:uiPriority w:val="99"/>
    <w:unhideWhenUsed/>
    <w:rsid w:val="00CA1A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1AEA"/>
  </w:style>
  <w:style w:type="paragraph" w:styleId="Footer">
    <w:name w:val="footer"/>
    <w:basedOn w:val="Normal"/>
    <w:link w:val="FooterChar"/>
    <w:uiPriority w:val="99"/>
    <w:unhideWhenUsed/>
    <w:rsid w:val="00CA1A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1AEA"/>
  </w:style>
  <w:style w:type="table" w:styleId="TableGrid">
    <w:name w:val="Table Grid"/>
    <w:basedOn w:val="TableNormal"/>
    <w:uiPriority w:val="59"/>
    <w:rsid w:val="008605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9679">
      <w:bodyDiv w:val="1"/>
      <w:marLeft w:val="0"/>
      <w:marRight w:val="0"/>
      <w:marTop w:val="0"/>
      <w:marBottom w:val="0"/>
      <w:divBdr>
        <w:top w:val="none" w:sz="0" w:space="0" w:color="auto"/>
        <w:left w:val="none" w:sz="0" w:space="0" w:color="auto"/>
        <w:bottom w:val="none" w:sz="0" w:space="0" w:color="auto"/>
        <w:right w:val="none" w:sz="0" w:space="0" w:color="auto"/>
      </w:divBdr>
    </w:div>
    <w:div w:id="1080298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2953E-8F2B-480E-8B52-D4E90AF2C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3306</Words>
  <Characters>18849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EMAIL UPDATE</cp:lastModifiedBy>
  <cp:revision>2</cp:revision>
  <cp:lastPrinted>2026-09-23T20:24:00Z</cp:lastPrinted>
  <dcterms:created xsi:type="dcterms:W3CDTF">2026-10-07T15:20:00Z</dcterms:created>
  <dcterms:modified xsi:type="dcterms:W3CDTF">2026-10-07T15:20:00Z</dcterms:modified>
</cp:coreProperties>
</file>